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28" w:rsidRDefault="00FB3928" w:rsidP="00142F95">
      <w:pPr>
        <w:spacing w:after="152" w:line="259" w:lineRule="auto"/>
        <w:ind w:left="9" w:hanging="10"/>
        <w:jc w:val="left"/>
        <w:rPr>
          <w:rFonts w:ascii="MS Reference Sans Serif" w:hAnsi="MS Reference Sans Serif"/>
          <w:color w:val="auto"/>
          <w:sz w:val="22"/>
        </w:rPr>
      </w:pPr>
    </w:p>
    <w:p w:rsidR="00E51866" w:rsidRDefault="00E51866" w:rsidP="00E51866">
      <w:pPr>
        <w:spacing w:after="152" w:line="259" w:lineRule="auto"/>
        <w:ind w:left="9" w:hanging="10"/>
        <w:jc w:val="right"/>
        <w:rPr>
          <w:rFonts w:ascii="MS Reference Sans Serif" w:hAnsi="MS Reference Sans Serif"/>
          <w:color w:val="auto"/>
          <w:sz w:val="22"/>
        </w:rPr>
      </w:pPr>
      <w:r w:rsidRPr="000879A9">
        <w:rPr>
          <w:rFonts w:ascii="Arial" w:hAnsi="Arial" w:cs="Arial"/>
          <w:b/>
          <w:bCs/>
          <w:noProof/>
          <w:sz w:val="22"/>
        </w:rPr>
        <w:drawing>
          <wp:inline distT="0" distB="0" distL="0" distR="0">
            <wp:extent cx="1494790" cy="842645"/>
            <wp:effectExtent l="0" t="0" r="0" b="0"/>
            <wp:docPr id="1" name="Picture 1" descr="Tuntum-Logo -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ntum-Logo - FULL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66" w:rsidRDefault="00E51866" w:rsidP="00142F95">
      <w:pPr>
        <w:spacing w:after="152" w:line="259" w:lineRule="auto"/>
        <w:ind w:left="9" w:hanging="10"/>
        <w:jc w:val="left"/>
        <w:rPr>
          <w:rFonts w:ascii="MS Reference Sans Serif" w:hAnsi="MS Reference Sans Serif"/>
          <w:color w:val="aut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E51866" w:rsidRPr="00934397" w:rsidTr="009F725E">
        <w:trPr>
          <w:jc w:val="center"/>
        </w:trPr>
        <w:tc>
          <w:tcPr>
            <w:tcW w:w="8856" w:type="dxa"/>
            <w:gridSpan w:val="2"/>
            <w:shd w:val="clear" w:color="auto" w:fill="auto"/>
          </w:tcPr>
          <w:p w:rsidR="00E51866" w:rsidRPr="00E51866" w:rsidRDefault="00E51866" w:rsidP="00E51866">
            <w:pPr>
              <w:ind w:left="754" w:firstLine="0"/>
              <w:jc w:val="center"/>
              <w:rPr>
                <w:rFonts w:ascii="Arial" w:eastAsiaTheme="minorEastAsia" w:hAnsi="Arial" w:cs="Arial"/>
                <w:b/>
                <w:color w:val="auto"/>
                <w:lang w:val="en-US" w:bidi="bn-IN"/>
              </w:rPr>
            </w:pPr>
            <w:r w:rsidRPr="00E51866">
              <w:rPr>
                <w:rFonts w:ascii="Arial" w:eastAsiaTheme="minorEastAsia" w:hAnsi="Arial" w:cs="Arial"/>
                <w:b/>
                <w:color w:val="auto"/>
                <w:sz w:val="22"/>
                <w:lang w:val="en-US" w:bidi="bn-IN"/>
              </w:rPr>
              <w:t>TERMS OF REFERENCE</w:t>
            </w:r>
            <w:r>
              <w:rPr>
                <w:rFonts w:ascii="Arial" w:eastAsiaTheme="minorEastAsia" w:hAnsi="Arial" w:cs="Arial"/>
                <w:b/>
                <w:color w:val="auto"/>
                <w:sz w:val="22"/>
                <w:lang w:val="en-US" w:bidi="bn-IN"/>
              </w:rPr>
              <w:t xml:space="preserve"> OF THE BOARD </w:t>
            </w:r>
          </w:p>
        </w:tc>
      </w:tr>
      <w:tr w:rsidR="004625C2" w:rsidRPr="00934397" w:rsidTr="0003572C">
        <w:trPr>
          <w:jc w:val="center"/>
        </w:trPr>
        <w:tc>
          <w:tcPr>
            <w:tcW w:w="3168" w:type="dxa"/>
            <w:shd w:val="clear" w:color="auto" w:fill="auto"/>
          </w:tcPr>
          <w:p w:rsidR="00FB3928" w:rsidRPr="0003572C" w:rsidRDefault="00FB3928" w:rsidP="0003572C">
            <w:pPr>
              <w:jc w:val="left"/>
              <w:rPr>
                <w:rFonts w:ascii="Arial" w:eastAsiaTheme="minorEastAsia" w:hAnsi="Arial" w:cs="Arial"/>
                <w:b/>
                <w:color w:val="auto"/>
                <w:lang w:val="en-US" w:bidi="bn-IN"/>
              </w:rPr>
            </w:pPr>
            <w:r w:rsidRPr="0003572C">
              <w:rPr>
                <w:rFonts w:ascii="Arial" w:eastAsiaTheme="minorEastAsia" w:hAnsi="Arial" w:cs="Arial"/>
                <w:b/>
                <w:color w:val="auto"/>
                <w:sz w:val="22"/>
                <w:lang w:val="en-US" w:bidi="bn-IN"/>
              </w:rPr>
              <w:t>Effective Date:</w:t>
            </w:r>
          </w:p>
        </w:tc>
        <w:tc>
          <w:tcPr>
            <w:tcW w:w="5688" w:type="dxa"/>
            <w:shd w:val="clear" w:color="auto" w:fill="auto"/>
          </w:tcPr>
          <w:p w:rsidR="00FB3928" w:rsidRPr="0003572C" w:rsidRDefault="00F95A48" w:rsidP="0003566D">
            <w:pPr>
              <w:ind w:left="754" w:firstLine="0"/>
              <w:jc w:val="left"/>
              <w:rPr>
                <w:rFonts w:ascii="Arial" w:eastAsiaTheme="minorEastAsia" w:hAnsi="Arial" w:cs="Arial"/>
                <w:color w:val="auto"/>
                <w:lang w:val="en-US" w:bidi="bn-IN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lang w:val="en-US" w:bidi="bn-IN"/>
              </w:rPr>
              <w:t>July</w:t>
            </w:r>
            <w:r w:rsidR="00B44433">
              <w:rPr>
                <w:rFonts w:ascii="Arial" w:eastAsiaTheme="minorEastAsia" w:hAnsi="Arial" w:cs="Arial"/>
                <w:color w:val="auto"/>
                <w:sz w:val="22"/>
                <w:lang w:val="en-US" w:bidi="bn-IN"/>
              </w:rPr>
              <w:t xml:space="preserve"> 2021</w:t>
            </w:r>
          </w:p>
        </w:tc>
      </w:tr>
      <w:tr w:rsidR="004625C2" w:rsidRPr="00934397" w:rsidTr="0003572C">
        <w:trPr>
          <w:jc w:val="center"/>
        </w:trPr>
        <w:tc>
          <w:tcPr>
            <w:tcW w:w="3168" w:type="dxa"/>
            <w:shd w:val="clear" w:color="auto" w:fill="auto"/>
          </w:tcPr>
          <w:p w:rsidR="00FB3928" w:rsidRPr="0003572C" w:rsidRDefault="00FB3928" w:rsidP="0003572C">
            <w:pPr>
              <w:jc w:val="left"/>
              <w:rPr>
                <w:rFonts w:ascii="Arial" w:eastAsiaTheme="minorEastAsia" w:hAnsi="Arial" w:cs="Arial"/>
                <w:b/>
                <w:color w:val="auto"/>
                <w:lang w:val="en-US" w:bidi="bn-IN"/>
              </w:rPr>
            </w:pPr>
            <w:r w:rsidRPr="0003572C">
              <w:rPr>
                <w:rFonts w:ascii="Arial" w:eastAsiaTheme="minorEastAsia" w:hAnsi="Arial" w:cs="Arial"/>
                <w:b/>
                <w:color w:val="auto"/>
                <w:sz w:val="22"/>
                <w:lang w:val="en-US" w:bidi="bn-IN"/>
              </w:rPr>
              <w:t>Date Last Reviewed:</w:t>
            </w:r>
          </w:p>
        </w:tc>
        <w:tc>
          <w:tcPr>
            <w:tcW w:w="5688" w:type="dxa"/>
            <w:shd w:val="clear" w:color="auto" w:fill="auto"/>
          </w:tcPr>
          <w:p w:rsidR="00FB3928" w:rsidRPr="0003572C" w:rsidRDefault="00B44433" w:rsidP="0003572C">
            <w:pPr>
              <w:ind w:left="754" w:firstLine="0"/>
              <w:jc w:val="left"/>
              <w:rPr>
                <w:rFonts w:ascii="Arial" w:eastAsiaTheme="minorEastAsia" w:hAnsi="Arial" w:cs="Arial"/>
                <w:color w:val="auto"/>
                <w:lang w:val="en-US" w:bidi="bn-IN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lang w:val="en-US" w:bidi="bn-IN"/>
              </w:rPr>
              <w:t>July 2021</w:t>
            </w:r>
          </w:p>
        </w:tc>
      </w:tr>
      <w:tr w:rsidR="004625C2" w:rsidRPr="00934397" w:rsidTr="0003572C">
        <w:trPr>
          <w:jc w:val="center"/>
        </w:trPr>
        <w:tc>
          <w:tcPr>
            <w:tcW w:w="3168" w:type="dxa"/>
            <w:shd w:val="clear" w:color="auto" w:fill="auto"/>
          </w:tcPr>
          <w:p w:rsidR="00FB3928" w:rsidRPr="0003572C" w:rsidRDefault="00FB3928" w:rsidP="0003572C">
            <w:pPr>
              <w:jc w:val="left"/>
              <w:rPr>
                <w:rFonts w:ascii="Arial" w:eastAsiaTheme="minorEastAsia" w:hAnsi="Arial" w:cs="Arial"/>
                <w:b/>
                <w:color w:val="auto"/>
                <w:lang w:val="en-US" w:bidi="bn-IN"/>
              </w:rPr>
            </w:pPr>
            <w:r w:rsidRPr="0003572C">
              <w:rPr>
                <w:rFonts w:ascii="Arial" w:eastAsiaTheme="minorEastAsia" w:hAnsi="Arial" w:cs="Arial"/>
                <w:b/>
                <w:color w:val="auto"/>
                <w:sz w:val="22"/>
                <w:lang w:val="en-US" w:bidi="bn-IN"/>
              </w:rPr>
              <w:t>Scheduled Review Date:</w:t>
            </w:r>
          </w:p>
        </w:tc>
        <w:tc>
          <w:tcPr>
            <w:tcW w:w="5688" w:type="dxa"/>
            <w:shd w:val="clear" w:color="auto" w:fill="auto"/>
          </w:tcPr>
          <w:p w:rsidR="00FB3928" w:rsidRPr="0003572C" w:rsidRDefault="0003566D" w:rsidP="00854C60">
            <w:pPr>
              <w:ind w:left="754" w:firstLine="0"/>
              <w:jc w:val="left"/>
              <w:rPr>
                <w:rFonts w:ascii="Arial" w:eastAsiaTheme="minorEastAsia" w:hAnsi="Arial" w:cs="Arial"/>
                <w:color w:val="auto"/>
                <w:lang w:val="en-US" w:bidi="bn-IN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lang w:val="en-US" w:bidi="bn-IN"/>
              </w:rPr>
              <w:t xml:space="preserve">July </w:t>
            </w:r>
            <w:r w:rsidR="00B44433">
              <w:rPr>
                <w:rFonts w:ascii="Arial" w:eastAsiaTheme="minorEastAsia" w:hAnsi="Arial" w:cs="Arial"/>
                <w:color w:val="auto"/>
                <w:sz w:val="22"/>
                <w:lang w:val="en-US" w:bidi="bn-IN"/>
              </w:rPr>
              <w:t xml:space="preserve">2023 </w:t>
            </w:r>
          </w:p>
        </w:tc>
      </w:tr>
      <w:tr w:rsidR="004625C2" w:rsidRPr="00934397" w:rsidTr="0003572C">
        <w:trPr>
          <w:jc w:val="center"/>
        </w:trPr>
        <w:tc>
          <w:tcPr>
            <w:tcW w:w="3168" w:type="dxa"/>
            <w:shd w:val="clear" w:color="auto" w:fill="auto"/>
          </w:tcPr>
          <w:p w:rsidR="00FB3928" w:rsidRPr="0003572C" w:rsidRDefault="00FB3928" w:rsidP="0003572C">
            <w:pPr>
              <w:jc w:val="left"/>
              <w:rPr>
                <w:rFonts w:ascii="Arial" w:eastAsiaTheme="minorEastAsia" w:hAnsi="Arial" w:cs="Arial"/>
                <w:b/>
                <w:color w:val="auto"/>
                <w:lang w:val="en-US" w:bidi="bn-IN"/>
              </w:rPr>
            </w:pPr>
            <w:r w:rsidRPr="0003572C">
              <w:rPr>
                <w:rFonts w:ascii="Arial" w:eastAsiaTheme="minorEastAsia" w:hAnsi="Arial" w:cs="Arial"/>
                <w:b/>
                <w:color w:val="auto"/>
                <w:sz w:val="22"/>
                <w:lang w:val="en-US" w:bidi="bn-IN"/>
              </w:rPr>
              <w:t>Author:</w:t>
            </w:r>
          </w:p>
        </w:tc>
        <w:tc>
          <w:tcPr>
            <w:tcW w:w="5688" w:type="dxa"/>
            <w:shd w:val="clear" w:color="auto" w:fill="auto"/>
          </w:tcPr>
          <w:p w:rsidR="00FB3928" w:rsidRPr="0003572C" w:rsidRDefault="009E7078" w:rsidP="0003572C">
            <w:pPr>
              <w:ind w:left="754" w:firstLine="0"/>
              <w:jc w:val="left"/>
              <w:rPr>
                <w:rFonts w:ascii="Arial" w:eastAsiaTheme="minorEastAsia" w:hAnsi="Arial" w:cs="Arial"/>
                <w:color w:val="auto"/>
                <w:lang w:val="en-US" w:bidi="bn-IN"/>
              </w:rPr>
            </w:pPr>
            <w:r w:rsidRPr="0003572C">
              <w:rPr>
                <w:rFonts w:ascii="Arial" w:eastAsiaTheme="minorEastAsia" w:hAnsi="Arial" w:cs="Arial"/>
                <w:color w:val="auto"/>
                <w:sz w:val="22"/>
                <w:lang w:val="en-US" w:bidi="bn-IN"/>
              </w:rPr>
              <w:t>Richard Renwick, CEO</w:t>
            </w:r>
          </w:p>
        </w:tc>
      </w:tr>
      <w:tr w:rsidR="004625C2" w:rsidRPr="00934397" w:rsidTr="0003572C">
        <w:trPr>
          <w:jc w:val="center"/>
        </w:trPr>
        <w:tc>
          <w:tcPr>
            <w:tcW w:w="3168" w:type="dxa"/>
            <w:shd w:val="clear" w:color="auto" w:fill="auto"/>
          </w:tcPr>
          <w:p w:rsidR="00FB3928" w:rsidRPr="0003572C" w:rsidRDefault="00FB3928" w:rsidP="0003572C">
            <w:pPr>
              <w:jc w:val="left"/>
              <w:rPr>
                <w:rFonts w:ascii="Arial" w:eastAsiaTheme="minorEastAsia" w:hAnsi="Arial" w:cs="Arial"/>
                <w:b/>
                <w:color w:val="auto"/>
                <w:lang w:val="en-US" w:bidi="bn-IN"/>
              </w:rPr>
            </w:pPr>
            <w:r w:rsidRPr="0003572C">
              <w:rPr>
                <w:rFonts w:ascii="Arial" w:eastAsiaTheme="minorEastAsia" w:hAnsi="Arial" w:cs="Arial"/>
                <w:b/>
                <w:color w:val="auto"/>
                <w:sz w:val="22"/>
                <w:lang w:val="en-US" w:bidi="bn-IN"/>
              </w:rPr>
              <w:t>Approved by:</w:t>
            </w:r>
          </w:p>
        </w:tc>
        <w:tc>
          <w:tcPr>
            <w:tcW w:w="5688" w:type="dxa"/>
            <w:shd w:val="clear" w:color="auto" w:fill="auto"/>
          </w:tcPr>
          <w:p w:rsidR="00FB3928" w:rsidRPr="0003572C" w:rsidRDefault="009E7078" w:rsidP="0003572C">
            <w:pPr>
              <w:ind w:left="754" w:firstLine="0"/>
              <w:jc w:val="left"/>
              <w:rPr>
                <w:rFonts w:ascii="Arial" w:eastAsiaTheme="minorEastAsia" w:hAnsi="Arial" w:cs="Arial"/>
                <w:color w:val="auto"/>
                <w:lang w:val="en-US" w:bidi="bn-IN"/>
              </w:rPr>
            </w:pPr>
            <w:r w:rsidRPr="0003572C">
              <w:rPr>
                <w:rFonts w:ascii="Arial" w:eastAsiaTheme="minorEastAsia" w:hAnsi="Arial" w:cs="Arial"/>
                <w:color w:val="auto"/>
                <w:sz w:val="22"/>
                <w:lang w:val="en-US" w:bidi="bn-IN"/>
              </w:rPr>
              <w:t>Board</w:t>
            </w:r>
          </w:p>
        </w:tc>
      </w:tr>
    </w:tbl>
    <w:p w:rsidR="00142F95" w:rsidRPr="00142F95" w:rsidRDefault="00142F95" w:rsidP="0003572C">
      <w:pPr>
        <w:spacing w:after="43" w:line="220" w:lineRule="auto"/>
        <w:ind w:left="1" w:right="7157" w:firstLine="0"/>
        <w:jc w:val="left"/>
        <w:rPr>
          <w:rFonts w:ascii="MS Reference Sans Serif" w:hAnsi="MS Reference Sans Serif"/>
          <w:b/>
          <w:color w:val="auto"/>
          <w:sz w:val="22"/>
        </w:rPr>
      </w:pPr>
    </w:p>
    <w:p w:rsidR="00142F95" w:rsidRPr="0003572C" w:rsidRDefault="00142F95" w:rsidP="0003572C">
      <w:pPr>
        <w:spacing w:after="43" w:line="220" w:lineRule="auto"/>
        <w:ind w:left="-1" w:right="7157" w:firstLine="0"/>
        <w:jc w:val="left"/>
        <w:rPr>
          <w:rFonts w:ascii="MS Reference Sans Serif" w:hAnsi="MS Reference Sans Serif"/>
          <w:b/>
          <w:color w:val="auto"/>
          <w:sz w:val="22"/>
        </w:rPr>
      </w:pPr>
    </w:p>
    <w:p w:rsidR="00142F95" w:rsidRPr="0003572C" w:rsidRDefault="00142F95" w:rsidP="000D225E">
      <w:pPr>
        <w:pStyle w:val="ListParagraph"/>
        <w:numPr>
          <w:ilvl w:val="0"/>
          <w:numId w:val="3"/>
        </w:numPr>
        <w:spacing w:after="43" w:line="220" w:lineRule="auto"/>
        <w:ind w:right="28"/>
        <w:jc w:val="left"/>
        <w:rPr>
          <w:rFonts w:ascii="Arial" w:eastAsiaTheme="minorEastAsia" w:hAnsi="Arial" w:cs="Arial"/>
          <w:b/>
          <w:bCs/>
          <w:color w:val="auto"/>
          <w:sz w:val="22"/>
          <w:lang w:val="en-US" w:bidi="bn-IN"/>
        </w:rPr>
      </w:pPr>
      <w:r w:rsidRPr="0003572C">
        <w:rPr>
          <w:rFonts w:ascii="Arial" w:eastAsiaTheme="minorEastAsia" w:hAnsi="Arial" w:cs="Arial"/>
          <w:b/>
          <w:bCs/>
          <w:color w:val="auto"/>
          <w:sz w:val="22"/>
          <w:lang w:val="en-US" w:bidi="bn-IN"/>
        </w:rPr>
        <w:t>Constitution and Membership</w:t>
      </w:r>
    </w:p>
    <w:p w:rsidR="00142F95" w:rsidRPr="0003572C" w:rsidRDefault="00142F95" w:rsidP="000D225E">
      <w:pPr>
        <w:ind w:left="394" w:firstLine="0"/>
        <w:jc w:val="left"/>
        <w:rPr>
          <w:rFonts w:ascii="Arial" w:eastAsiaTheme="minorEastAsia" w:hAnsi="Arial" w:cs="Arial"/>
          <w:color w:val="auto"/>
          <w:sz w:val="22"/>
          <w:lang w:val="en-US" w:bidi="bn-IN"/>
        </w:rPr>
      </w:pPr>
    </w:p>
    <w:p w:rsidR="00EF184C" w:rsidRPr="004420A9" w:rsidRDefault="00142F95" w:rsidP="000D225E">
      <w:pPr>
        <w:pStyle w:val="ListParagraph"/>
        <w:numPr>
          <w:ilvl w:val="0"/>
          <w:numId w:val="4"/>
        </w:numPr>
        <w:jc w:val="left"/>
        <w:rPr>
          <w:rFonts w:ascii="Arial" w:eastAsiaTheme="minorEastAsia" w:hAnsi="Arial" w:cs="Arial"/>
          <w:color w:val="auto"/>
          <w:sz w:val="22"/>
          <w:lang w:val="en-US" w:bidi="bn-IN"/>
        </w:rPr>
      </w:pPr>
      <w:r w:rsidRPr="0003572C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12 </w:t>
      </w:r>
      <w:bookmarkStart w:id="0" w:name="_GoBack"/>
      <w:bookmarkEnd w:id="0"/>
      <w:r w:rsidR="00652810" w:rsidRPr="004420A9">
        <w:rPr>
          <w:rFonts w:ascii="Arial" w:eastAsiaTheme="minorEastAsia" w:hAnsi="Arial" w:cs="Arial"/>
          <w:color w:val="auto"/>
          <w:sz w:val="22"/>
          <w:lang w:val="en-US" w:bidi="bn-IN"/>
        </w:rPr>
        <w:t>m</w:t>
      </w:r>
      <w:r w:rsidRPr="004420A9">
        <w:rPr>
          <w:rFonts w:ascii="Arial" w:eastAsiaTheme="minorEastAsia" w:hAnsi="Arial" w:cs="Arial"/>
          <w:color w:val="auto"/>
          <w:sz w:val="22"/>
          <w:lang w:val="en-US" w:bidi="bn-IN"/>
        </w:rPr>
        <w:t>embers including co-</w:t>
      </w:r>
      <w:proofErr w:type="spellStart"/>
      <w:r w:rsidRPr="004420A9">
        <w:rPr>
          <w:rFonts w:ascii="Arial" w:eastAsiaTheme="minorEastAsia" w:hAnsi="Arial" w:cs="Arial"/>
          <w:color w:val="auto"/>
          <w:sz w:val="22"/>
          <w:lang w:val="en-US" w:bidi="bn-IN"/>
        </w:rPr>
        <w:t>optees</w:t>
      </w:r>
      <w:proofErr w:type="spellEnd"/>
      <w:r w:rsidRPr="004420A9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 (Rule D2)</w:t>
      </w:r>
      <w:r w:rsidR="005A4B67" w:rsidRPr="004420A9">
        <w:rPr>
          <w:rFonts w:ascii="Arial" w:eastAsiaTheme="minorEastAsia" w:hAnsi="Arial" w:cs="Arial"/>
          <w:color w:val="auto"/>
          <w:sz w:val="22"/>
          <w:lang w:val="en-US" w:bidi="bn-IN"/>
        </w:rPr>
        <w:t>,</w:t>
      </w:r>
      <w:r w:rsidR="00D9120E" w:rsidRPr="004420A9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 with one-third retiring at each AGM</w:t>
      </w:r>
      <w:r w:rsidR="00EF184C" w:rsidRPr="004420A9">
        <w:rPr>
          <w:rFonts w:ascii="Arial" w:eastAsiaTheme="minorEastAsia" w:hAnsi="Arial" w:cs="Arial"/>
          <w:color w:val="auto"/>
          <w:sz w:val="22"/>
          <w:lang w:val="en-US" w:bidi="bn-IN"/>
        </w:rPr>
        <w:t>.</w:t>
      </w:r>
    </w:p>
    <w:p w:rsidR="00921D45" w:rsidRPr="004420A9" w:rsidRDefault="00EF184C" w:rsidP="000D225E">
      <w:pPr>
        <w:pStyle w:val="ListParagraph"/>
        <w:numPr>
          <w:ilvl w:val="0"/>
          <w:numId w:val="4"/>
        </w:numPr>
        <w:jc w:val="left"/>
        <w:rPr>
          <w:rFonts w:ascii="Arial" w:eastAsiaTheme="minorEastAsia" w:hAnsi="Arial" w:cs="Arial"/>
          <w:color w:val="auto"/>
          <w:sz w:val="22"/>
          <w:lang w:val="en-US" w:bidi="bn-IN"/>
        </w:rPr>
      </w:pPr>
      <w:r w:rsidRPr="004420A9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Members have </w:t>
      </w:r>
      <w:r w:rsidR="00D9120E" w:rsidRPr="004420A9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the right to </w:t>
      </w:r>
      <w:r w:rsidR="003F0775" w:rsidRPr="004420A9">
        <w:rPr>
          <w:rFonts w:ascii="Arial" w:eastAsiaTheme="minorEastAsia" w:hAnsi="Arial" w:cs="Arial"/>
          <w:color w:val="auto"/>
          <w:sz w:val="22"/>
          <w:lang w:val="en-US" w:bidi="bn-IN"/>
        </w:rPr>
        <w:t>remain on the board for</w:t>
      </w:r>
      <w:r w:rsidR="00921D45" w:rsidRPr="004420A9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 up to six years comprising two terms of three years each. At the end of the first term board members are required to stand for re-election. </w:t>
      </w:r>
    </w:p>
    <w:p w:rsidR="00B44433" w:rsidRPr="004420A9" w:rsidRDefault="004D33CD" w:rsidP="000D225E">
      <w:pPr>
        <w:pStyle w:val="ListParagraph"/>
        <w:numPr>
          <w:ilvl w:val="0"/>
          <w:numId w:val="4"/>
        </w:numPr>
        <w:jc w:val="left"/>
        <w:rPr>
          <w:rFonts w:ascii="Arial" w:eastAsiaTheme="minorEastAsia" w:hAnsi="Arial" w:cs="Arial"/>
          <w:color w:val="auto"/>
          <w:sz w:val="22"/>
          <w:lang w:val="en-US" w:bidi="bn-IN"/>
        </w:rPr>
      </w:pPr>
      <w:r w:rsidRPr="004420A9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In addition, </w:t>
      </w:r>
      <w:r w:rsidR="00921D45" w:rsidRPr="004420A9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after the </w:t>
      </w:r>
      <w:r w:rsidR="004420A9" w:rsidRPr="004420A9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end of the </w:t>
      </w:r>
      <w:r w:rsidR="00921D45" w:rsidRPr="004420A9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second term </w:t>
      </w:r>
      <w:r w:rsidR="00B44433" w:rsidRPr="004420A9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members have the right to be re-elected each </w:t>
      </w:r>
      <w:r w:rsidR="00921D45" w:rsidRPr="004420A9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consecutive </w:t>
      </w:r>
      <w:r w:rsidR="00B44433" w:rsidRPr="004420A9">
        <w:rPr>
          <w:rFonts w:ascii="Arial" w:eastAsiaTheme="minorEastAsia" w:hAnsi="Arial" w:cs="Arial"/>
          <w:color w:val="auto"/>
          <w:sz w:val="22"/>
          <w:lang w:val="en-US" w:bidi="bn-IN"/>
        </w:rPr>
        <w:t>year up to a maximum nine years.</w:t>
      </w:r>
    </w:p>
    <w:p w:rsidR="00142F95" w:rsidRPr="00F26983" w:rsidRDefault="00D3775D" w:rsidP="000D225E">
      <w:pPr>
        <w:pStyle w:val="ListParagraph"/>
        <w:numPr>
          <w:ilvl w:val="0"/>
          <w:numId w:val="4"/>
        </w:numPr>
        <w:jc w:val="left"/>
        <w:rPr>
          <w:rFonts w:ascii="Arial" w:eastAsiaTheme="minorEastAsia" w:hAnsi="Arial" w:cs="Arial"/>
          <w:color w:val="auto"/>
          <w:sz w:val="22"/>
          <w:lang w:val="en-US" w:bidi="bn-IN"/>
        </w:rPr>
      </w:pPr>
      <w:r>
        <w:rPr>
          <w:rFonts w:ascii="Arial" w:eastAsiaTheme="minorEastAsia" w:hAnsi="Arial" w:cs="Arial"/>
          <w:color w:val="auto"/>
          <w:sz w:val="22"/>
          <w:lang w:val="en-US" w:bidi="bn-IN"/>
        </w:rPr>
        <w:t>As agreed by the Board, q</w:t>
      </w:r>
      <w:r w:rsidR="00142F95" w:rsidRPr="00F26983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uorum will be </w:t>
      </w:r>
      <w:r w:rsidR="001031C1">
        <w:rPr>
          <w:rFonts w:ascii="Arial" w:eastAsiaTheme="minorEastAsia" w:hAnsi="Arial" w:cs="Arial"/>
          <w:color w:val="auto"/>
          <w:sz w:val="22"/>
          <w:lang w:val="en-US" w:bidi="bn-IN"/>
        </w:rPr>
        <w:t>5</w:t>
      </w:r>
      <w:r w:rsidR="00D9120E" w:rsidRPr="00F26983">
        <w:rPr>
          <w:rFonts w:ascii="Arial" w:eastAsiaTheme="minorEastAsia" w:hAnsi="Arial" w:cs="Arial"/>
          <w:b/>
          <w:color w:val="auto"/>
          <w:sz w:val="22"/>
          <w:lang w:val="en-US" w:bidi="bn-IN"/>
        </w:rPr>
        <w:t xml:space="preserve"> </w:t>
      </w:r>
      <w:r w:rsidR="00142F95" w:rsidRPr="00F26983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members </w:t>
      </w:r>
      <w:r w:rsidR="00D9120E" w:rsidRPr="00F26983">
        <w:rPr>
          <w:rFonts w:ascii="Arial" w:eastAsiaTheme="minorEastAsia" w:hAnsi="Arial" w:cs="Arial"/>
          <w:color w:val="auto"/>
          <w:sz w:val="22"/>
          <w:lang w:val="en-US" w:bidi="bn-IN"/>
        </w:rPr>
        <w:t>excluding co-</w:t>
      </w:r>
      <w:proofErr w:type="spellStart"/>
      <w:r w:rsidR="00D9120E" w:rsidRPr="00F26983">
        <w:rPr>
          <w:rFonts w:ascii="Arial" w:eastAsiaTheme="minorEastAsia" w:hAnsi="Arial" w:cs="Arial"/>
          <w:color w:val="auto"/>
          <w:sz w:val="22"/>
          <w:lang w:val="en-US" w:bidi="bn-IN"/>
        </w:rPr>
        <w:t>optees</w:t>
      </w:r>
      <w:proofErr w:type="spellEnd"/>
      <w:r w:rsidR="00D9120E" w:rsidRPr="00F26983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 (Rule D15)</w:t>
      </w:r>
      <w:r w:rsidR="00F26983">
        <w:rPr>
          <w:rFonts w:ascii="Arial" w:eastAsiaTheme="minorEastAsia" w:hAnsi="Arial" w:cs="Arial"/>
          <w:color w:val="auto"/>
          <w:sz w:val="22"/>
          <w:lang w:val="en-US" w:bidi="bn-IN"/>
        </w:rPr>
        <w:t>.</w:t>
      </w:r>
    </w:p>
    <w:p w:rsidR="00142F95" w:rsidRPr="0003572C" w:rsidRDefault="00142F95" w:rsidP="000D225E">
      <w:pPr>
        <w:pStyle w:val="ListParagraph"/>
        <w:numPr>
          <w:ilvl w:val="0"/>
          <w:numId w:val="4"/>
        </w:numPr>
        <w:jc w:val="left"/>
        <w:rPr>
          <w:rFonts w:ascii="Arial" w:eastAsiaTheme="minorEastAsia" w:hAnsi="Arial" w:cs="Arial"/>
          <w:color w:val="auto"/>
          <w:sz w:val="22"/>
          <w:lang w:val="en-US" w:bidi="bn-IN"/>
        </w:rPr>
      </w:pPr>
      <w:r w:rsidRPr="0003572C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Any vacancies on the Board </w:t>
      </w:r>
      <w:r w:rsidR="00032F8A">
        <w:rPr>
          <w:rFonts w:ascii="Arial" w:eastAsiaTheme="minorEastAsia" w:hAnsi="Arial" w:cs="Arial"/>
          <w:color w:val="auto"/>
          <w:sz w:val="22"/>
          <w:lang w:val="en-US" w:bidi="bn-IN"/>
        </w:rPr>
        <w:t>will</w:t>
      </w:r>
      <w:r w:rsidR="00094E16" w:rsidRPr="0003572C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 </w:t>
      </w:r>
      <w:r w:rsidR="00921D45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be filled by election at the AGM </w:t>
      </w:r>
      <w:r w:rsidRPr="0003572C">
        <w:rPr>
          <w:rFonts w:ascii="Arial" w:eastAsiaTheme="minorEastAsia" w:hAnsi="Arial" w:cs="Arial"/>
          <w:color w:val="auto"/>
          <w:sz w:val="22"/>
          <w:lang w:val="en-US" w:bidi="bn-IN"/>
        </w:rPr>
        <w:t>from candidates in line with its Rules</w:t>
      </w:r>
      <w:r w:rsidR="005A4B67">
        <w:rPr>
          <w:rFonts w:ascii="Arial" w:eastAsiaTheme="minorEastAsia" w:hAnsi="Arial" w:cs="Arial"/>
          <w:color w:val="auto"/>
          <w:sz w:val="22"/>
          <w:lang w:val="en-US" w:bidi="bn-IN"/>
        </w:rPr>
        <w:t>.</w:t>
      </w:r>
    </w:p>
    <w:p w:rsidR="00142F95" w:rsidRPr="0003572C" w:rsidRDefault="00142F95" w:rsidP="000D225E">
      <w:pPr>
        <w:pStyle w:val="ListParagraph"/>
        <w:numPr>
          <w:ilvl w:val="0"/>
          <w:numId w:val="4"/>
        </w:numPr>
        <w:jc w:val="left"/>
        <w:rPr>
          <w:rFonts w:ascii="Arial" w:eastAsiaTheme="minorEastAsia" w:hAnsi="Arial" w:cs="Arial"/>
          <w:color w:val="auto"/>
          <w:sz w:val="22"/>
          <w:lang w:val="en-US" w:bidi="bn-IN"/>
        </w:rPr>
      </w:pPr>
      <w:r w:rsidRPr="0003572C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The Chief Executive and other Executives </w:t>
      </w:r>
      <w:r w:rsidR="00032F8A">
        <w:rPr>
          <w:rFonts w:ascii="Arial" w:eastAsiaTheme="minorEastAsia" w:hAnsi="Arial" w:cs="Arial"/>
          <w:color w:val="auto"/>
          <w:sz w:val="22"/>
          <w:lang w:val="en-US" w:bidi="bn-IN"/>
        </w:rPr>
        <w:t>will</w:t>
      </w:r>
      <w:r w:rsidRPr="0003572C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 normally be in attendance at meetings</w:t>
      </w:r>
      <w:r w:rsidR="005A4B67">
        <w:rPr>
          <w:rFonts w:ascii="Arial" w:eastAsiaTheme="minorEastAsia" w:hAnsi="Arial" w:cs="Arial"/>
          <w:color w:val="auto"/>
          <w:sz w:val="22"/>
          <w:lang w:val="en-US" w:bidi="bn-IN"/>
        </w:rPr>
        <w:t>.</w:t>
      </w:r>
    </w:p>
    <w:p w:rsidR="00142F95" w:rsidRPr="0003572C" w:rsidRDefault="00142F95" w:rsidP="000D225E">
      <w:pPr>
        <w:pStyle w:val="ListParagraph"/>
        <w:numPr>
          <w:ilvl w:val="0"/>
          <w:numId w:val="4"/>
        </w:numPr>
        <w:jc w:val="left"/>
        <w:rPr>
          <w:rFonts w:ascii="Arial" w:eastAsiaTheme="minorEastAsia" w:hAnsi="Arial" w:cs="Arial"/>
          <w:color w:val="auto"/>
          <w:sz w:val="22"/>
          <w:lang w:val="en-US" w:bidi="bn-IN"/>
        </w:rPr>
      </w:pPr>
      <w:r w:rsidRPr="0003572C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Other officers can be requested to attend </w:t>
      </w:r>
      <w:r w:rsidRPr="00032F8A">
        <w:rPr>
          <w:rFonts w:ascii="Arial" w:eastAsiaTheme="minorEastAsia" w:hAnsi="Arial" w:cs="Arial"/>
          <w:color w:val="auto"/>
          <w:sz w:val="22"/>
          <w:lang w:val="en-US" w:bidi="bn-IN"/>
        </w:rPr>
        <w:t>by the Chief Executive</w:t>
      </w:r>
      <w:r w:rsidR="00032F8A">
        <w:rPr>
          <w:rFonts w:ascii="Arial" w:eastAsiaTheme="minorEastAsia" w:hAnsi="Arial" w:cs="Arial"/>
          <w:color w:val="auto"/>
          <w:sz w:val="22"/>
          <w:lang w:val="en-US" w:bidi="bn-IN"/>
        </w:rPr>
        <w:t>.</w:t>
      </w:r>
    </w:p>
    <w:p w:rsidR="000C6016" w:rsidRDefault="00142F95" w:rsidP="000D225E">
      <w:pPr>
        <w:pStyle w:val="ListParagraph"/>
        <w:numPr>
          <w:ilvl w:val="0"/>
          <w:numId w:val="4"/>
        </w:numPr>
        <w:jc w:val="left"/>
        <w:rPr>
          <w:rFonts w:ascii="Arial" w:eastAsiaTheme="minorEastAsia" w:hAnsi="Arial" w:cs="Arial"/>
          <w:color w:val="auto"/>
          <w:sz w:val="22"/>
          <w:lang w:val="en-US" w:bidi="bn-IN"/>
        </w:rPr>
      </w:pPr>
      <w:r w:rsidRPr="0003572C">
        <w:rPr>
          <w:rFonts w:ascii="Arial" w:eastAsiaTheme="minorEastAsia" w:hAnsi="Arial" w:cs="Arial"/>
          <w:color w:val="auto"/>
          <w:sz w:val="22"/>
          <w:lang w:val="en-US" w:bidi="bn-IN"/>
        </w:rPr>
        <w:t>The</w:t>
      </w:r>
      <w:r w:rsidR="00D9120E" w:rsidRPr="0003572C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 Board shall </w:t>
      </w:r>
      <w:r w:rsidR="00E669C7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formally </w:t>
      </w:r>
      <w:r w:rsidR="00D9120E" w:rsidRPr="0003572C">
        <w:rPr>
          <w:rFonts w:ascii="Arial" w:eastAsiaTheme="minorEastAsia" w:hAnsi="Arial" w:cs="Arial"/>
          <w:color w:val="auto"/>
          <w:sz w:val="22"/>
          <w:lang w:val="en-US" w:bidi="bn-IN"/>
        </w:rPr>
        <w:t>meet at least six</w:t>
      </w:r>
      <w:r w:rsidRPr="0003572C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 times per year</w:t>
      </w:r>
      <w:r w:rsidR="000C6016">
        <w:rPr>
          <w:rFonts w:ascii="Arial" w:eastAsiaTheme="minorEastAsia" w:hAnsi="Arial" w:cs="Arial"/>
          <w:color w:val="auto"/>
          <w:sz w:val="22"/>
          <w:lang w:val="en-US" w:bidi="bn-IN"/>
        </w:rPr>
        <w:t>.</w:t>
      </w:r>
    </w:p>
    <w:p w:rsidR="00142F95" w:rsidRPr="0003572C" w:rsidRDefault="000C6016" w:rsidP="000D225E">
      <w:pPr>
        <w:pStyle w:val="ListParagraph"/>
        <w:numPr>
          <w:ilvl w:val="0"/>
          <w:numId w:val="4"/>
        </w:numPr>
        <w:jc w:val="left"/>
        <w:rPr>
          <w:rFonts w:ascii="Arial" w:eastAsiaTheme="minorEastAsia" w:hAnsi="Arial" w:cs="Arial"/>
          <w:color w:val="auto"/>
          <w:sz w:val="22"/>
          <w:lang w:val="en-US" w:bidi="bn-IN"/>
        </w:rPr>
      </w:pPr>
      <w:r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In addition, the Board shall meet at least once annually </w:t>
      </w:r>
      <w:r w:rsidR="004420A9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separately </w:t>
      </w:r>
      <w:r>
        <w:rPr>
          <w:rFonts w:ascii="Arial" w:eastAsiaTheme="minorEastAsia" w:hAnsi="Arial" w:cs="Arial"/>
          <w:color w:val="auto"/>
          <w:sz w:val="22"/>
          <w:lang w:val="en-US" w:bidi="bn-IN"/>
        </w:rPr>
        <w:t>to plan the future business of the Association</w:t>
      </w:r>
      <w:r w:rsidR="004420A9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 known as the ‘away weekend’</w:t>
      </w:r>
      <w:r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. </w:t>
      </w:r>
    </w:p>
    <w:p w:rsidR="00ED6582" w:rsidRDefault="00ED6582" w:rsidP="000D225E">
      <w:pPr>
        <w:pStyle w:val="NormalWeb"/>
        <w:numPr>
          <w:ilvl w:val="0"/>
          <w:numId w:val="3"/>
        </w:numPr>
        <w:spacing w:after="240" w:afterAutospacing="0"/>
        <w:rPr>
          <w:rFonts w:ascii="Arial" w:hAnsi="Arial" w:cs="Arial"/>
          <w:b/>
          <w:bCs/>
          <w:sz w:val="22"/>
          <w:szCs w:val="22"/>
          <w:lang w:val="en-US"/>
        </w:rPr>
      </w:pPr>
      <w:r w:rsidRPr="0018347E">
        <w:rPr>
          <w:rFonts w:ascii="Arial" w:hAnsi="Arial" w:cs="Arial"/>
          <w:b/>
          <w:bCs/>
          <w:sz w:val="22"/>
          <w:szCs w:val="22"/>
          <w:lang w:val="en-US"/>
        </w:rPr>
        <w:t>Responsibilities</w:t>
      </w:r>
    </w:p>
    <w:p w:rsidR="00ED6582" w:rsidRDefault="00ED6582" w:rsidP="000D225E">
      <w:pPr>
        <w:pStyle w:val="NormalWeb"/>
        <w:spacing w:after="240" w:afterAutospacing="0"/>
        <w:ind w:left="360"/>
        <w:rPr>
          <w:rFonts w:ascii="Arial" w:hAnsi="Arial" w:cs="Arial"/>
          <w:sz w:val="22"/>
          <w:szCs w:val="22"/>
          <w:lang w:val="en-US"/>
        </w:rPr>
      </w:pPr>
      <w:r w:rsidRPr="0018347E">
        <w:rPr>
          <w:rFonts w:ascii="Arial" w:hAnsi="Arial" w:cs="Arial"/>
          <w:sz w:val="22"/>
          <w:szCs w:val="22"/>
          <w:lang w:val="en-US"/>
        </w:rPr>
        <w:t>The board shall have the following responsibilities</w:t>
      </w:r>
      <w:r w:rsidR="005A4B67">
        <w:rPr>
          <w:rFonts w:ascii="Arial" w:hAnsi="Arial" w:cs="Arial"/>
          <w:sz w:val="22"/>
          <w:szCs w:val="22"/>
          <w:lang w:val="en-US"/>
        </w:rPr>
        <w:t>:</w:t>
      </w:r>
      <w:r w:rsidRPr="0018347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D6582" w:rsidRDefault="00ED6582" w:rsidP="000D225E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18347E">
        <w:rPr>
          <w:rFonts w:ascii="Arial" w:hAnsi="Arial" w:cs="Arial"/>
          <w:sz w:val="22"/>
          <w:szCs w:val="22"/>
          <w:lang w:val="en-US"/>
        </w:rPr>
        <w:t xml:space="preserve">Define and ensure compliance with the values, mission and strategic objectives of the Association, ensuring its long-term success. </w:t>
      </w:r>
    </w:p>
    <w:p w:rsidR="00F26983" w:rsidRPr="00854C60" w:rsidRDefault="00F26983" w:rsidP="000D225E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854C60">
        <w:rPr>
          <w:rFonts w:ascii="Arial" w:hAnsi="Arial" w:cs="Arial"/>
          <w:sz w:val="22"/>
          <w:szCs w:val="22"/>
          <w:lang w:val="en-US"/>
        </w:rPr>
        <w:t xml:space="preserve">Establish a framework for approving strategies, policies and plans to achieve those objectives </w:t>
      </w:r>
      <w:r w:rsidR="002A658B" w:rsidRPr="00854C60">
        <w:rPr>
          <w:rFonts w:ascii="Arial" w:hAnsi="Arial" w:cs="Arial"/>
          <w:sz w:val="22"/>
          <w:szCs w:val="22"/>
          <w:lang w:val="en-US"/>
        </w:rPr>
        <w:t xml:space="preserve">and delegate from time to time </w:t>
      </w:r>
      <w:r w:rsidR="005016E5" w:rsidRPr="00854C60">
        <w:rPr>
          <w:rFonts w:ascii="Arial" w:hAnsi="Arial" w:cs="Arial"/>
          <w:sz w:val="22"/>
          <w:szCs w:val="22"/>
          <w:lang w:val="en-US"/>
        </w:rPr>
        <w:t>authorities to c</w:t>
      </w:r>
      <w:r w:rsidRPr="00854C60">
        <w:rPr>
          <w:rFonts w:ascii="Arial" w:hAnsi="Arial" w:cs="Arial"/>
          <w:sz w:val="22"/>
          <w:szCs w:val="22"/>
          <w:lang w:val="en-US"/>
        </w:rPr>
        <w:t>om</w:t>
      </w:r>
      <w:r w:rsidR="002A658B" w:rsidRPr="00854C60">
        <w:rPr>
          <w:rFonts w:ascii="Arial" w:hAnsi="Arial" w:cs="Arial"/>
          <w:sz w:val="22"/>
          <w:szCs w:val="22"/>
          <w:lang w:val="en-US"/>
        </w:rPr>
        <w:t>mittees and the Chief Executive which shall not contravene reserved powers listed in 3 below.</w:t>
      </w:r>
      <w:r w:rsidR="004D33C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26983" w:rsidRDefault="00F26983" w:rsidP="000D225E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Approve the annual budget, business and corporate plans including annual KPI targets and development strategy.</w:t>
      </w:r>
    </w:p>
    <w:p w:rsidR="00ED6582" w:rsidRPr="002C1DCD" w:rsidRDefault="00ED6582" w:rsidP="000D225E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2C1DCD">
        <w:rPr>
          <w:rFonts w:ascii="Arial" w:hAnsi="Arial" w:cs="Arial"/>
          <w:sz w:val="22"/>
          <w:szCs w:val="22"/>
          <w:lang w:val="en-US"/>
        </w:rPr>
        <w:t xml:space="preserve">Establish and oversee </w:t>
      </w:r>
      <w:r w:rsidR="001C4B69" w:rsidRPr="002C1DCD">
        <w:rPr>
          <w:rFonts w:ascii="Arial" w:hAnsi="Arial" w:cs="Arial"/>
          <w:sz w:val="22"/>
          <w:szCs w:val="22"/>
          <w:lang w:val="en-US"/>
        </w:rPr>
        <w:t>systems</w:t>
      </w:r>
      <w:r w:rsidRPr="002C1DCD">
        <w:rPr>
          <w:rFonts w:ascii="Arial" w:hAnsi="Arial" w:cs="Arial"/>
          <w:sz w:val="22"/>
          <w:szCs w:val="22"/>
          <w:lang w:val="en-US"/>
        </w:rPr>
        <w:t xml:space="preserve"> of internal control, which are reviewed annually. </w:t>
      </w:r>
    </w:p>
    <w:p w:rsidR="00F26983" w:rsidRPr="004420A9" w:rsidRDefault="00F26983" w:rsidP="004420A9">
      <w:pPr>
        <w:pStyle w:val="NormalWeb"/>
        <w:numPr>
          <w:ilvl w:val="0"/>
          <w:numId w:val="10"/>
        </w:numPr>
        <w:shd w:val="clear" w:color="auto" w:fill="FFFFFF" w:themeFill="background1"/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18347E">
        <w:rPr>
          <w:rFonts w:ascii="Arial" w:hAnsi="Arial" w:cs="Arial"/>
          <w:sz w:val="22"/>
          <w:szCs w:val="22"/>
          <w:lang w:val="en-US"/>
        </w:rPr>
        <w:lastRenderedPageBreak/>
        <w:t xml:space="preserve">Monitor the </w:t>
      </w:r>
      <w:r w:rsidRPr="004420A9">
        <w:rPr>
          <w:rFonts w:ascii="Arial" w:hAnsi="Arial" w:cs="Arial"/>
          <w:sz w:val="22"/>
          <w:szCs w:val="22"/>
          <w:lang w:val="en-US"/>
        </w:rPr>
        <w:t xml:space="preserve">Association’s performance in relation to these strategies, plans, budget, controls, KPIs and decisions. </w:t>
      </w:r>
    </w:p>
    <w:p w:rsidR="00F26983" w:rsidRPr="004420A9" w:rsidRDefault="00854C60" w:rsidP="004420A9">
      <w:pPr>
        <w:pStyle w:val="NormalWeb"/>
        <w:numPr>
          <w:ilvl w:val="0"/>
          <w:numId w:val="10"/>
        </w:numPr>
        <w:shd w:val="clear" w:color="auto" w:fill="FFFFFF" w:themeFill="background1"/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4420A9">
        <w:rPr>
          <w:rFonts w:ascii="Arial" w:hAnsi="Arial" w:cs="Arial"/>
          <w:sz w:val="22"/>
          <w:szCs w:val="22"/>
          <w:lang w:val="en-US"/>
        </w:rPr>
        <w:t xml:space="preserve">Ensure compliance with the </w:t>
      </w:r>
      <w:r w:rsidR="004420A9">
        <w:rPr>
          <w:rFonts w:ascii="Arial" w:hAnsi="Arial" w:cs="Arial"/>
          <w:sz w:val="22"/>
          <w:szCs w:val="22"/>
          <w:lang w:val="en-US"/>
        </w:rPr>
        <w:t>Regulator of Social Housing (RSH)</w:t>
      </w:r>
      <w:r w:rsidRPr="004420A9">
        <w:rPr>
          <w:rFonts w:ascii="Arial" w:hAnsi="Arial" w:cs="Arial"/>
          <w:sz w:val="22"/>
          <w:szCs w:val="22"/>
          <w:lang w:val="en-US"/>
        </w:rPr>
        <w:t xml:space="preserve"> </w:t>
      </w:r>
      <w:r w:rsidR="00F26983" w:rsidRPr="004420A9">
        <w:rPr>
          <w:rFonts w:ascii="Arial" w:hAnsi="Arial" w:cs="Arial"/>
          <w:sz w:val="22"/>
          <w:szCs w:val="22"/>
          <w:lang w:val="en-US"/>
        </w:rPr>
        <w:t>Governance and Viability Standards.</w:t>
      </w:r>
    </w:p>
    <w:p w:rsidR="00F26983" w:rsidRPr="004420A9" w:rsidRDefault="00F26983" w:rsidP="004420A9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4420A9">
        <w:rPr>
          <w:rFonts w:ascii="Arial" w:hAnsi="Arial" w:cs="Arial"/>
          <w:sz w:val="22"/>
          <w:szCs w:val="22"/>
          <w:lang w:val="en-US"/>
        </w:rPr>
        <w:t>Satisfy itself as to the integrity of financial information and approve each year’s accounts prior to publication.</w:t>
      </w:r>
    </w:p>
    <w:p w:rsidR="00ED6582" w:rsidRPr="004420A9" w:rsidRDefault="00ED6582" w:rsidP="004420A9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4420A9">
        <w:rPr>
          <w:rFonts w:ascii="Arial" w:hAnsi="Arial" w:cs="Arial"/>
          <w:sz w:val="22"/>
          <w:szCs w:val="22"/>
          <w:lang w:val="en-US"/>
        </w:rPr>
        <w:t>Establish and oversee a framework for the identification, management and reporting of risk, in order to safeguard</w:t>
      </w:r>
      <w:r w:rsidR="004D33CD" w:rsidRPr="004420A9">
        <w:rPr>
          <w:rFonts w:ascii="Arial" w:hAnsi="Arial" w:cs="Arial"/>
          <w:sz w:val="22"/>
          <w:szCs w:val="22"/>
          <w:lang w:val="en-US"/>
        </w:rPr>
        <w:t xml:space="preserve"> the assets of the Association </w:t>
      </w:r>
      <w:r w:rsidR="007F3148" w:rsidRPr="004420A9">
        <w:rPr>
          <w:rFonts w:ascii="Arial" w:hAnsi="Arial" w:cs="Arial"/>
          <w:sz w:val="22"/>
          <w:szCs w:val="22"/>
          <w:lang w:val="en-US"/>
        </w:rPr>
        <w:t xml:space="preserve">including risk appetites and tolerances </w:t>
      </w:r>
      <w:r w:rsidR="004D33CD" w:rsidRPr="004420A9">
        <w:rPr>
          <w:rFonts w:ascii="Arial" w:hAnsi="Arial" w:cs="Arial"/>
          <w:sz w:val="22"/>
          <w:szCs w:val="22"/>
          <w:lang w:val="en-US"/>
        </w:rPr>
        <w:t xml:space="preserve">and ensure that where review of risk strategies are delegated to committees </w:t>
      </w:r>
      <w:r w:rsidR="000D225E" w:rsidRPr="004420A9">
        <w:rPr>
          <w:rFonts w:ascii="Arial" w:hAnsi="Arial" w:cs="Arial"/>
          <w:sz w:val="22"/>
          <w:szCs w:val="22"/>
          <w:lang w:val="en-US"/>
        </w:rPr>
        <w:t>that these reviews are carried out and reported to the Board</w:t>
      </w:r>
      <w:r w:rsidR="007F3148" w:rsidRPr="004420A9">
        <w:rPr>
          <w:rFonts w:ascii="Arial" w:hAnsi="Arial" w:cs="Arial"/>
          <w:sz w:val="22"/>
          <w:szCs w:val="22"/>
          <w:lang w:val="en-US"/>
        </w:rPr>
        <w:t xml:space="preserve"> via the Audit &amp; Risk Committee</w:t>
      </w:r>
      <w:r w:rsidR="000D225E" w:rsidRPr="004420A9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ED6582" w:rsidRDefault="00ED6582" w:rsidP="000D225E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4420A9">
        <w:rPr>
          <w:rFonts w:ascii="Arial" w:hAnsi="Arial" w:cs="Arial"/>
          <w:sz w:val="22"/>
          <w:szCs w:val="22"/>
          <w:lang w:val="en-US"/>
        </w:rPr>
        <w:t>Agree or ratify policies and decisions on all matters that might create significant</w:t>
      </w:r>
      <w:r w:rsidRPr="0018347E">
        <w:rPr>
          <w:rFonts w:ascii="Arial" w:hAnsi="Arial" w:cs="Arial"/>
          <w:sz w:val="22"/>
          <w:szCs w:val="22"/>
          <w:lang w:val="en-US"/>
        </w:rPr>
        <w:t xml:space="preserve"> financial or other risk to the Association or which raise material issues of principle. </w:t>
      </w:r>
    </w:p>
    <w:p w:rsidR="00ED6582" w:rsidRDefault="00ED6582" w:rsidP="000D225E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18347E">
        <w:rPr>
          <w:rFonts w:ascii="Arial" w:hAnsi="Arial" w:cs="Arial"/>
          <w:sz w:val="22"/>
          <w:szCs w:val="22"/>
          <w:lang w:val="en-US"/>
        </w:rPr>
        <w:t xml:space="preserve">Establish and monitor a mechanism for communicating and receiving feedback from the Association’s stakeholders and shareholders. </w:t>
      </w:r>
    </w:p>
    <w:p w:rsidR="00ED6582" w:rsidRDefault="00ED6582" w:rsidP="000D225E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18347E">
        <w:rPr>
          <w:rFonts w:ascii="Arial" w:hAnsi="Arial" w:cs="Arial"/>
          <w:sz w:val="22"/>
          <w:szCs w:val="22"/>
          <w:lang w:val="en-US"/>
        </w:rPr>
        <w:t xml:space="preserve">Establish a strong working relationship </w:t>
      </w:r>
      <w:r w:rsidR="005A4B67">
        <w:rPr>
          <w:rFonts w:ascii="Arial" w:hAnsi="Arial" w:cs="Arial"/>
          <w:sz w:val="22"/>
          <w:szCs w:val="22"/>
          <w:lang w:val="en-US"/>
        </w:rPr>
        <w:t>with</w:t>
      </w:r>
      <w:r w:rsidRPr="0018347E">
        <w:rPr>
          <w:rFonts w:ascii="Arial" w:hAnsi="Arial" w:cs="Arial"/>
          <w:sz w:val="22"/>
          <w:szCs w:val="22"/>
          <w:lang w:val="en-US"/>
        </w:rPr>
        <w:t xml:space="preserve"> the </w:t>
      </w:r>
      <w:r w:rsidR="005A4B67">
        <w:rPr>
          <w:rFonts w:ascii="Arial" w:hAnsi="Arial" w:cs="Arial"/>
          <w:sz w:val="22"/>
          <w:szCs w:val="22"/>
          <w:lang w:val="en-US"/>
        </w:rPr>
        <w:t>C</w:t>
      </w:r>
      <w:r w:rsidRPr="0018347E">
        <w:rPr>
          <w:rFonts w:ascii="Arial" w:hAnsi="Arial" w:cs="Arial"/>
          <w:sz w:val="22"/>
          <w:szCs w:val="22"/>
          <w:lang w:val="en-US"/>
        </w:rPr>
        <w:t xml:space="preserve">hief </w:t>
      </w:r>
      <w:r w:rsidR="005A4B67">
        <w:rPr>
          <w:rFonts w:ascii="Arial" w:hAnsi="Arial" w:cs="Arial"/>
          <w:sz w:val="22"/>
          <w:szCs w:val="22"/>
          <w:lang w:val="en-US"/>
        </w:rPr>
        <w:t>E</w:t>
      </w:r>
      <w:r w:rsidRPr="0018347E">
        <w:rPr>
          <w:rFonts w:ascii="Arial" w:hAnsi="Arial" w:cs="Arial"/>
          <w:sz w:val="22"/>
          <w:szCs w:val="22"/>
          <w:lang w:val="en-US"/>
        </w:rPr>
        <w:t>x</w:t>
      </w:r>
      <w:r w:rsidR="00B57742">
        <w:rPr>
          <w:rFonts w:ascii="Arial" w:hAnsi="Arial" w:cs="Arial"/>
          <w:sz w:val="22"/>
          <w:szCs w:val="22"/>
          <w:lang w:val="en-US"/>
        </w:rPr>
        <w:t>ecutive and other senior staff.</w:t>
      </w:r>
    </w:p>
    <w:p w:rsidR="00ED6582" w:rsidRDefault="00ED6582" w:rsidP="000D225E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18347E">
        <w:rPr>
          <w:rFonts w:ascii="Arial" w:hAnsi="Arial" w:cs="Arial"/>
          <w:sz w:val="22"/>
          <w:szCs w:val="22"/>
          <w:lang w:val="en-US"/>
        </w:rPr>
        <w:t xml:space="preserve">Appoint (and, if necessary, dismiss) the </w:t>
      </w:r>
      <w:r>
        <w:rPr>
          <w:rFonts w:ascii="Arial" w:hAnsi="Arial" w:cs="Arial"/>
          <w:sz w:val="22"/>
          <w:szCs w:val="22"/>
          <w:lang w:val="en-US"/>
        </w:rPr>
        <w:t>C</w:t>
      </w:r>
      <w:r w:rsidRPr="0018347E">
        <w:rPr>
          <w:rFonts w:ascii="Arial" w:hAnsi="Arial" w:cs="Arial"/>
          <w:sz w:val="22"/>
          <w:szCs w:val="22"/>
          <w:lang w:val="en-US"/>
        </w:rPr>
        <w:t xml:space="preserve">hief 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18347E">
        <w:rPr>
          <w:rFonts w:ascii="Arial" w:hAnsi="Arial" w:cs="Arial"/>
          <w:sz w:val="22"/>
          <w:szCs w:val="22"/>
          <w:lang w:val="en-US"/>
        </w:rPr>
        <w:t xml:space="preserve">xecutive following agreed procedures, and approve his or her salary, benefits and terms and employment. </w:t>
      </w:r>
    </w:p>
    <w:p w:rsidR="00D3775D" w:rsidRDefault="00ED6582" w:rsidP="000D225E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D3775D">
        <w:rPr>
          <w:rFonts w:ascii="Arial" w:hAnsi="Arial" w:cs="Arial"/>
          <w:sz w:val="22"/>
          <w:szCs w:val="22"/>
          <w:lang w:val="en-US"/>
        </w:rPr>
        <w:t xml:space="preserve">Satisfy itself that the Association’s affairs are conducted lawfully and in accordance with generally accepted standards of performance, probity, good practice and </w:t>
      </w:r>
      <w:r w:rsidR="00854C60">
        <w:rPr>
          <w:rFonts w:ascii="Arial" w:hAnsi="Arial" w:cs="Arial"/>
          <w:sz w:val="22"/>
          <w:szCs w:val="22"/>
          <w:lang w:val="en-US"/>
        </w:rPr>
        <w:t>RSH</w:t>
      </w:r>
      <w:r w:rsidR="001C4B69" w:rsidRPr="00D3775D">
        <w:rPr>
          <w:rFonts w:ascii="Arial" w:hAnsi="Arial" w:cs="Arial"/>
          <w:sz w:val="22"/>
          <w:szCs w:val="22"/>
          <w:lang w:val="en-US"/>
        </w:rPr>
        <w:t xml:space="preserve"> </w:t>
      </w:r>
      <w:r w:rsidRPr="00D3775D">
        <w:rPr>
          <w:rFonts w:ascii="Arial" w:hAnsi="Arial" w:cs="Arial"/>
          <w:sz w:val="22"/>
          <w:szCs w:val="22"/>
          <w:lang w:val="en-US"/>
        </w:rPr>
        <w:t>regulatory requirements</w:t>
      </w:r>
      <w:r w:rsidR="001C4B69" w:rsidRPr="00D3775D">
        <w:rPr>
          <w:rFonts w:ascii="Arial" w:hAnsi="Arial" w:cs="Arial"/>
          <w:sz w:val="22"/>
          <w:szCs w:val="22"/>
          <w:lang w:val="en-US"/>
        </w:rPr>
        <w:t xml:space="preserve"> and standards</w:t>
      </w:r>
      <w:r w:rsidRPr="00D3775D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ED6582" w:rsidRPr="00D3775D" w:rsidRDefault="00B57742" w:rsidP="000D225E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D3775D">
        <w:rPr>
          <w:rFonts w:ascii="Arial" w:hAnsi="Arial" w:cs="Arial"/>
          <w:sz w:val="22"/>
          <w:szCs w:val="22"/>
          <w:lang w:val="en-US"/>
        </w:rPr>
        <w:t>Satisfy itself that the Association is</w:t>
      </w:r>
      <w:r w:rsidR="00ED6582" w:rsidRPr="00D3775D">
        <w:rPr>
          <w:rFonts w:ascii="Arial" w:hAnsi="Arial" w:cs="Arial"/>
          <w:sz w:val="22"/>
          <w:szCs w:val="22"/>
          <w:lang w:val="en-US"/>
        </w:rPr>
        <w:t xml:space="preserve"> follow</w:t>
      </w:r>
      <w:r w:rsidRPr="00D3775D">
        <w:rPr>
          <w:rFonts w:ascii="Arial" w:hAnsi="Arial" w:cs="Arial"/>
          <w:sz w:val="22"/>
          <w:szCs w:val="22"/>
          <w:lang w:val="en-US"/>
        </w:rPr>
        <w:t>ing</w:t>
      </w:r>
      <w:r w:rsidR="00ED6582" w:rsidRPr="00D3775D">
        <w:rPr>
          <w:rFonts w:ascii="Arial" w:hAnsi="Arial" w:cs="Arial"/>
          <w:sz w:val="22"/>
          <w:szCs w:val="22"/>
          <w:lang w:val="en-US"/>
        </w:rPr>
        <w:t xml:space="preserve"> the recommendations of the NHF </w:t>
      </w:r>
      <w:r w:rsidRPr="00D3775D">
        <w:rPr>
          <w:rFonts w:ascii="Arial" w:hAnsi="Arial" w:cs="Arial"/>
          <w:sz w:val="22"/>
          <w:szCs w:val="22"/>
          <w:lang w:val="en-US"/>
        </w:rPr>
        <w:t>Code of</w:t>
      </w:r>
      <w:r w:rsidR="00ED6582" w:rsidRPr="00D3775D">
        <w:rPr>
          <w:rFonts w:ascii="Arial" w:hAnsi="Arial" w:cs="Arial"/>
          <w:sz w:val="22"/>
          <w:szCs w:val="22"/>
          <w:lang w:val="en-US"/>
        </w:rPr>
        <w:t xml:space="preserve"> Governance and state compliance and non-compliance in its review and accounts. </w:t>
      </w:r>
    </w:p>
    <w:p w:rsidR="00ED6582" w:rsidRDefault="00ED6582" w:rsidP="000D225E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18347E">
        <w:rPr>
          <w:rFonts w:ascii="Arial" w:hAnsi="Arial" w:cs="Arial"/>
          <w:sz w:val="22"/>
          <w:szCs w:val="22"/>
          <w:lang w:val="en-US"/>
        </w:rPr>
        <w:t>Follo</w:t>
      </w:r>
      <w:r w:rsidR="00B57742">
        <w:rPr>
          <w:rFonts w:ascii="Arial" w:hAnsi="Arial" w:cs="Arial"/>
          <w:sz w:val="22"/>
          <w:szCs w:val="22"/>
          <w:lang w:val="en-US"/>
        </w:rPr>
        <w:t>w the Association’s Rules</w:t>
      </w:r>
      <w:r w:rsidRPr="0018347E">
        <w:rPr>
          <w:rFonts w:ascii="Arial" w:hAnsi="Arial" w:cs="Arial"/>
          <w:sz w:val="22"/>
          <w:szCs w:val="22"/>
          <w:lang w:val="en-US"/>
        </w:rPr>
        <w:t xml:space="preserve"> in appointing (and, if necessary, removing) the </w:t>
      </w:r>
      <w:r w:rsidR="005A4B67">
        <w:rPr>
          <w:rFonts w:ascii="Arial" w:hAnsi="Arial" w:cs="Arial"/>
          <w:sz w:val="22"/>
          <w:szCs w:val="22"/>
          <w:lang w:val="en-US"/>
        </w:rPr>
        <w:t>C</w:t>
      </w:r>
      <w:r w:rsidRPr="0018347E">
        <w:rPr>
          <w:rFonts w:ascii="Arial" w:hAnsi="Arial" w:cs="Arial"/>
          <w:sz w:val="22"/>
          <w:szCs w:val="22"/>
          <w:lang w:val="en-US"/>
        </w:rPr>
        <w:t xml:space="preserve">hair of the board. </w:t>
      </w:r>
    </w:p>
    <w:p w:rsidR="00ED6582" w:rsidRDefault="00ED6582" w:rsidP="000D225E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18347E">
        <w:rPr>
          <w:rFonts w:ascii="Arial" w:hAnsi="Arial" w:cs="Arial"/>
          <w:sz w:val="22"/>
          <w:szCs w:val="22"/>
          <w:lang w:val="en-US"/>
        </w:rPr>
        <w:t xml:space="preserve">Establish a code of conduct and </w:t>
      </w:r>
      <w:r w:rsidR="00D3775D">
        <w:rPr>
          <w:rFonts w:ascii="Arial" w:hAnsi="Arial" w:cs="Arial"/>
          <w:sz w:val="22"/>
          <w:szCs w:val="22"/>
          <w:lang w:val="en-US"/>
        </w:rPr>
        <w:t>monitor the</w:t>
      </w:r>
      <w:r w:rsidRPr="0018347E">
        <w:rPr>
          <w:rFonts w:ascii="Arial" w:hAnsi="Arial" w:cs="Arial"/>
          <w:sz w:val="22"/>
          <w:szCs w:val="22"/>
          <w:lang w:val="en-US"/>
        </w:rPr>
        <w:t xml:space="preserve"> </w:t>
      </w:r>
      <w:r w:rsidR="00B57742" w:rsidRPr="0018347E">
        <w:rPr>
          <w:rFonts w:ascii="Arial" w:hAnsi="Arial" w:cs="Arial"/>
          <w:sz w:val="22"/>
          <w:szCs w:val="22"/>
          <w:lang w:val="en-US"/>
        </w:rPr>
        <w:t>behavior</w:t>
      </w:r>
      <w:r w:rsidR="00D3775D">
        <w:rPr>
          <w:rFonts w:ascii="Arial" w:hAnsi="Arial" w:cs="Arial"/>
          <w:sz w:val="22"/>
          <w:szCs w:val="22"/>
          <w:lang w:val="en-US"/>
        </w:rPr>
        <w:t xml:space="preserve"> for the board in compliance with the code.</w:t>
      </w:r>
    </w:p>
    <w:p w:rsidR="00ED6582" w:rsidRDefault="00ED6582" w:rsidP="000D225E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18347E">
        <w:rPr>
          <w:rFonts w:ascii="Arial" w:hAnsi="Arial" w:cs="Arial"/>
          <w:sz w:val="22"/>
          <w:szCs w:val="22"/>
          <w:lang w:val="en-US"/>
        </w:rPr>
        <w:t>Review the membership</w:t>
      </w:r>
      <w:r w:rsidR="005A4B67">
        <w:rPr>
          <w:rFonts w:ascii="Arial" w:hAnsi="Arial" w:cs="Arial"/>
          <w:sz w:val="22"/>
          <w:szCs w:val="22"/>
          <w:lang w:val="en-US"/>
        </w:rPr>
        <w:t xml:space="preserve">, performance and effectiveness </w:t>
      </w:r>
      <w:r w:rsidRPr="0018347E">
        <w:rPr>
          <w:rFonts w:ascii="Arial" w:hAnsi="Arial" w:cs="Arial"/>
          <w:sz w:val="22"/>
          <w:szCs w:val="22"/>
          <w:lang w:val="en-US"/>
        </w:rPr>
        <w:t xml:space="preserve">of the </w:t>
      </w:r>
      <w:r w:rsidR="005A4B67">
        <w:rPr>
          <w:rFonts w:ascii="Arial" w:hAnsi="Arial" w:cs="Arial"/>
          <w:sz w:val="22"/>
          <w:szCs w:val="22"/>
          <w:lang w:val="en-US"/>
        </w:rPr>
        <w:t>B</w:t>
      </w:r>
      <w:r w:rsidRPr="0018347E">
        <w:rPr>
          <w:rFonts w:ascii="Arial" w:hAnsi="Arial" w:cs="Arial"/>
          <w:sz w:val="22"/>
          <w:szCs w:val="22"/>
          <w:lang w:val="en-US"/>
        </w:rPr>
        <w:t xml:space="preserve">oard and </w:t>
      </w:r>
      <w:r w:rsidR="005A4B67">
        <w:rPr>
          <w:rFonts w:ascii="Arial" w:hAnsi="Arial" w:cs="Arial"/>
          <w:sz w:val="22"/>
          <w:szCs w:val="22"/>
          <w:lang w:val="en-US"/>
        </w:rPr>
        <w:t>C</w:t>
      </w:r>
      <w:r w:rsidRPr="0018347E">
        <w:rPr>
          <w:rFonts w:ascii="Arial" w:hAnsi="Arial" w:cs="Arial"/>
          <w:sz w:val="22"/>
          <w:szCs w:val="22"/>
          <w:lang w:val="en-US"/>
        </w:rPr>
        <w:t xml:space="preserve">ommittees on an annual basis. </w:t>
      </w:r>
    </w:p>
    <w:p w:rsidR="00ED6582" w:rsidRDefault="00ED6582" w:rsidP="000D225E">
      <w:pPr>
        <w:pStyle w:val="NormalWeb"/>
        <w:numPr>
          <w:ilvl w:val="0"/>
          <w:numId w:val="10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18347E">
        <w:rPr>
          <w:rFonts w:ascii="Arial" w:hAnsi="Arial" w:cs="Arial"/>
          <w:sz w:val="22"/>
          <w:szCs w:val="22"/>
          <w:lang w:val="en-US"/>
        </w:rPr>
        <w:t xml:space="preserve">Approve applications for the </w:t>
      </w:r>
      <w:r w:rsidR="006C0BEB">
        <w:rPr>
          <w:rFonts w:ascii="Arial" w:hAnsi="Arial" w:cs="Arial"/>
          <w:sz w:val="22"/>
          <w:szCs w:val="22"/>
          <w:lang w:val="en-US"/>
        </w:rPr>
        <w:t xml:space="preserve">shareholding </w:t>
      </w:r>
      <w:r w:rsidRPr="0018347E">
        <w:rPr>
          <w:rFonts w:ascii="Arial" w:hAnsi="Arial" w:cs="Arial"/>
          <w:sz w:val="22"/>
          <w:szCs w:val="22"/>
          <w:lang w:val="en-US"/>
        </w:rPr>
        <w:t>membership of the Association.</w:t>
      </w:r>
    </w:p>
    <w:p w:rsidR="00755CC1" w:rsidRPr="00755CC1" w:rsidRDefault="00755CC1" w:rsidP="000D225E">
      <w:pPr>
        <w:pStyle w:val="ListParagraph"/>
        <w:numPr>
          <w:ilvl w:val="0"/>
          <w:numId w:val="10"/>
        </w:numPr>
        <w:spacing w:after="240"/>
        <w:ind w:right="235"/>
        <w:jc w:val="left"/>
        <w:rPr>
          <w:rFonts w:ascii="Arial" w:hAnsi="Arial" w:cs="Arial"/>
          <w:color w:val="auto"/>
          <w:sz w:val="22"/>
          <w:lang w:val="en-US"/>
        </w:rPr>
      </w:pPr>
      <w:r w:rsidRPr="00755CC1">
        <w:rPr>
          <w:rFonts w:ascii="Arial" w:eastAsiaTheme="minorEastAsia" w:hAnsi="Arial" w:cs="Arial"/>
          <w:color w:val="auto"/>
          <w:sz w:val="22"/>
          <w:lang w:val="en-US" w:bidi="bn-IN"/>
        </w:rPr>
        <w:t>Establish ad hoc</w:t>
      </w:r>
      <w:r w:rsidR="005A4B67">
        <w:rPr>
          <w:rFonts w:ascii="Arial" w:eastAsiaTheme="minorEastAsia" w:hAnsi="Arial" w:cs="Arial"/>
          <w:color w:val="auto"/>
          <w:sz w:val="22"/>
          <w:lang w:val="en-US" w:bidi="bn-IN"/>
        </w:rPr>
        <w:t>,</w:t>
      </w:r>
      <w:r w:rsidRPr="00755CC1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 </w:t>
      </w:r>
      <w:r>
        <w:rPr>
          <w:rFonts w:ascii="Arial" w:eastAsiaTheme="minorEastAsia" w:hAnsi="Arial" w:cs="Arial"/>
          <w:color w:val="auto"/>
          <w:sz w:val="22"/>
          <w:lang w:val="en-US" w:bidi="bn-IN"/>
        </w:rPr>
        <w:t>time</w:t>
      </w:r>
      <w:r w:rsidR="005A4B67">
        <w:rPr>
          <w:rFonts w:ascii="Arial" w:eastAsiaTheme="minorEastAsia" w:hAnsi="Arial" w:cs="Arial"/>
          <w:color w:val="auto"/>
          <w:sz w:val="22"/>
          <w:lang w:val="en-US" w:bidi="bn-IN"/>
        </w:rPr>
        <w:t>-</w:t>
      </w:r>
      <w:r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limited </w:t>
      </w:r>
      <w:r w:rsidRPr="00755CC1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Working Parties to examine in more detail matters which it considers warrant such attention. </w:t>
      </w:r>
    </w:p>
    <w:p w:rsidR="00755CC1" w:rsidRPr="00755CC1" w:rsidRDefault="00755CC1" w:rsidP="000D225E">
      <w:pPr>
        <w:pStyle w:val="ListParagraph"/>
        <w:spacing w:after="240"/>
        <w:ind w:left="1080" w:right="235" w:firstLine="0"/>
        <w:jc w:val="left"/>
        <w:rPr>
          <w:rFonts w:ascii="Arial" w:hAnsi="Arial" w:cs="Arial"/>
          <w:color w:val="auto"/>
          <w:sz w:val="22"/>
          <w:lang w:val="en-US"/>
        </w:rPr>
      </w:pPr>
    </w:p>
    <w:p w:rsidR="00755CC1" w:rsidRPr="00755CC1" w:rsidRDefault="00755CC1" w:rsidP="000D225E">
      <w:pPr>
        <w:pStyle w:val="ListParagraph"/>
        <w:numPr>
          <w:ilvl w:val="0"/>
          <w:numId w:val="10"/>
        </w:numPr>
        <w:ind w:right="235"/>
        <w:jc w:val="left"/>
        <w:rPr>
          <w:rFonts w:ascii="Arial" w:eastAsiaTheme="minorEastAsia" w:hAnsi="Arial" w:cs="Arial"/>
          <w:color w:val="auto"/>
          <w:sz w:val="22"/>
          <w:lang w:val="en-US" w:bidi="bn-IN"/>
        </w:rPr>
      </w:pPr>
      <w:r w:rsidRPr="00755CC1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Receive and review minutes of each </w:t>
      </w:r>
      <w:r w:rsidR="005A4B67">
        <w:rPr>
          <w:rFonts w:ascii="Arial" w:eastAsiaTheme="minorEastAsia" w:hAnsi="Arial" w:cs="Arial"/>
          <w:color w:val="auto"/>
          <w:sz w:val="22"/>
          <w:lang w:val="en-US" w:bidi="bn-IN"/>
        </w:rPr>
        <w:t>C</w:t>
      </w:r>
      <w:r w:rsidRPr="00755CC1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ommittee meeting </w:t>
      </w:r>
    </w:p>
    <w:p w:rsidR="00755CC1" w:rsidRPr="00755CC1" w:rsidRDefault="00755CC1" w:rsidP="000D225E">
      <w:pPr>
        <w:pStyle w:val="ListParagraph"/>
        <w:jc w:val="left"/>
        <w:rPr>
          <w:rFonts w:ascii="Arial" w:eastAsiaTheme="minorEastAsia" w:hAnsi="Arial" w:cs="Arial"/>
          <w:color w:val="auto"/>
          <w:sz w:val="22"/>
          <w:lang w:val="en-US" w:bidi="bn-IN"/>
        </w:rPr>
      </w:pPr>
    </w:p>
    <w:p w:rsidR="005A4B67" w:rsidRDefault="00755CC1" w:rsidP="000D225E">
      <w:pPr>
        <w:pStyle w:val="ListParagraph"/>
        <w:numPr>
          <w:ilvl w:val="0"/>
          <w:numId w:val="10"/>
        </w:numPr>
        <w:ind w:right="235"/>
        <w:jc w:val="left"/>
        <w:rPr>
          <w:rFonts w:ascii="Arial" w:eastAsiaTheme="minorEastAsia" w:hAnsi="Arial" w:cs="Arial"/>
          <w:color w:val="auto"/>
          <w:sz w:val="22"/>
          <w:lang w:val="en-US" w:bidi="bn-IN"/>
        </w:rPr>
      </w:pPr>
      <w:r w:rsidRPr="00755CC1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Receive </w:t>
      </w:r>
      <w:r w:rsidR="00854C60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regular </w:t>
      </w:r>
      <w:r w:rsidRPr="00755CC1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reports </w:t>
      </w:r>
      <w:r w:rsidR="00854C60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(written or verbal) </w:t>
      </w:r>
      <w:r w:rsidRPr="00755CC1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from Committee </w:t>
      </w:r>
      <w:r w:rsidR="005A4B67">
        <w:rPr>
          <w:rFonts w:ascii="Arial" w:eastAsiaTheme="minorEastAsia" w:hAnsi="Arial" w:cs="Arial"/>
          <w:color w:val="auto"/>
          <w:sz w:val="22"/>
          <w:lang w:val="en-US" w:bidi="bn-IN"/>
        </w:rPr>
        <w:t>C</w:t>
      </w:r>
      <w:r w:rsidRPr="00755CC1">
        <w:rPr>
          <w:rFonts w:ascii="Arial" w:eastAsiaTheme="minorEastAsia" w:hAnsi="Arial" w:cs="Arial"/>
          <w:color w:val="auto"/>
          <w:sz w:val="22"/>
          <w:lang w:val="en-US" w:bidi="bn-IN"/>
        </w:rPr>
        <w:t>hairs on the work of their Committee.</w:t>
      </w:r>
    </w:p>
    <w:p w:rsidR="00F26983" w:rsidRDefault="00F26983" w:rsidP="000D225E">
      <w:pPr>
        <w:pStyle w:val="ListParagraph"/>
        <w:ind w:left="1080" w:right="235" w:firstLine="0"/>
        <w:jc w:val="left"/>
        <w:rPr>
          <w:rFonts w:ascii="Arial" w:hAnsi="Arial" w:cs="Arial"/>
          <w:sz w:val="22"/>
          <w:lang w:val="en-US"/>
        </w:rPr>
      </w:pPr>
    </w:p>
    <w:p w:rsidR="00ED6582" w:rsidRDefault="00755CC1" w:rsidP="000D225E">
      <w:pPr>
        <w:pStyle w:val="ListParagraph"/>
        <w:numPr>
          <w:ilvl w:val="0"/>
          <w:numId w:val="10"/>
        </w:numPr>
        <w:ind w:right="235"/>
        <w:jc w:val="left"/>
        <w:rPr>
          <w:rFonts w:ascii="Arial" w:hAnsi="Arial" w:cs="Arial"/>
          <w:sz w:val="22"/>
          <w:lang w:val="en-US"/>
        </w:rPr>
      </w:pPr>
      <w:r w:rsidRPr="00F26983">
        <w:rPr>
          <w:rFonts w:ascii="Arial" w:hAnsi="Arial" w:cs="Arial"/>
          <w:sz w:val="22"/>
          <w:lang w:val="en-US"/>
        </w:rPr>
        <w:t>T</w:t>
      </w:r>
      <w:r w:rsidR="00ED6582" w:rsidRPr="00F26983">
        <w:rPr>
          <w:rFonts w:ascii="Arial" w:hAnsi="Arial" w:cs="Arial"/>
          <w:sz w:val="22"/>
          <w:lang w:val="en-US"/>
        </w:rPr>
        <w:t xml:space="preserve">ake appropriate professional advice. </w:t>
      </w:r>
    </w:p>
    <w:p w:rsidR="00854C60" w:rsidRPr="00854C60" w:rsidRDefault="00854C60" w:rsidP="000D225E">
      <w:pPr>
        <w:pStyle w:val="ListParagraph"/>
        <w:jc w:val="left"/>
        <w:rPr>
          <w:rFonts w:ascii="Arial" w:hAnsi="Arial" w:cs="Arial"/>
          <w:sz w:val="22"/>
          <w:lang w:val="en-US"/>
        </w:rPr>
      </w:pPr>
    </w:p>
    <w:p w:rsidR="00854C60" w:rsidRPr="004420A9" w:rsidRDefault="00854C60" w:rsidP="004420A9">
      <w:pPr>
        <w:pStyle w:val="ListParagraph"/>
        <w:numPr>
          <w:ilvl w:val="0"/>
          <w:numId w:val="10"/>
        </w:numPr>
        <w:ind w:right="235"/>
        <w:jc w:val="left"/>
        <w:rPr>
          <w:rFonts w:ascii="Arial" w:hAnsi="Arial" w:cs="Arial"/>
          <w:sz w:val="22"/>
          <w:lang w:val="en-US"/>
        </w:rPr>
      </w:pPr>
      <w:r w:rsidRPr="004420A9">
        <w:rPr>
          <w:rFonts w:ascii="Arial" w:hAnsi="Arial" w:cs="Arial"/>
          <w:sz w:val="22"/>
          <w:lang w:val="en-US"/>
        </w:rPr>
        <w:t>Take lead overall responsibility for the implementation of the Association’s Environmental Sustainability Strategy.</w:t>
      </w:r>
    </w:p>
    <w:p w:rsidR="00ED6582" w:rsidRPr="004420A9" w:rsidRDefault="00ED6582" w:rsidP="000D225E">
      <w:pPr>
        <w:pStyle w:val="NormalWeb"/>
        <w:numPr>
          <w:ilvl w:val="0"/>
          <w:numId w:val="3"/>
        </w:numPr>
        <w:spacing w:after="240" w:afterAutospacing="0"/>
        <w:rPr>
          <w:rFonts w:ascii="Arial" w:hAnsi="Arial" w:cs="Arial"/>
          <w:b/>
          <w:bCs/>
          <w:sz w:val="22"/>
          <w:szCs w:val="22"/>
          <w:lang w:val="en-US"/>
        </w:rPr>
      </w:pPr>
      <w:r w:rsidRPr="004420A9">
        <w:rPr>
          <w:rFonts w:ascii="Arial" w:hAnsi="Arial" w:cs="Arial"/>
          <w:b/>
          <w:bCs/>
          <w:sz w:val="22"/>
          <w:szCs w:val="22"/>
          <w:lang w:val="en-US"/>
        </w:rPr>
        <w:t xml:space="preserve">Reserved Powers </w:t>
      </w:r>
    </w:p>
    <w:p w:rsidR="00ED6582" w:rsidRDefault="004625C2" w:rsidP="000D225E">
      <w:pPr>
        <w:pStyle w:val="NormalWeb"/>
        <w:spacing w:after="240" w:afterAutospacing="0"/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addition to the above, t</w:t>
      </w:r>
      <w:r w:rsidR="00ED6582" w:rsidRPr="0018347E">
        <w:rPr>
          <w:rFonts w:ascii="Arial" w:hAnsi="Arial" w:cs="Arial"/>
          <w:sz w:val="22"/>
          <w:szCs w:val="22"/>
          <w:lang w:val="en-US"/>
        </w:rPr>
        <w:t xml:space="preserve">he </w:t>
      </w:r>
      <w:r w:rsidR="001C4B69">
        <w:rPr>
          <w:rFonts w:ascii="Arial" w:hAnsi="Arial" w:cs="Arial"/>
          <w:sz w:val="22"/>
          <w:szCs w:val="22"/>
          <w:lang w:val="en-US"/>
        </w:rPr>
        <w:t>B</w:t>
      </w:r>
      <w:r w:rsidR="00ED6582" w:rsidRPr="0018347E">
        <w:rPr>
          <w:rFonts w:ascii="Arial" w:hAnsi="Arial" w:cs="Arial"/>
          <w:sz w:val="22"/>
          <w:szCs w:val="22"/>
          <w:lang w:val="en-US"/>
        </w:rPr>
        <w:t>oard will have the following</w:t>
      </w:r>
      <w:r>
        <w:rPr>
          <w:rFonts w:ascii="Arial" w:hAnsi="Arial" w:cs="Arial"/>
          <w:sz w:val="22"/>
          <w:szCs w:val="22"/>
          <w:lang w:val="en-US"/>
        </w:rPr>
        <w:t xml:space="preserve"> reserved powers which will not be</w:t>
      </w:r>
      <w:r w:rsidR="00ED6582" w:rsidRPr="0018347E">
        <w:rPr>
          <w:rFonts w:ascii="Arial" w:hAnsi="Arial" w:cs="Arial"/>
          <w:sz w:val="22"/>
          <w:szCs w:val="22"/>
          <w:lang w:val="en-US"/>
        </w:rPr>
        <w:t xml:space="preserve"> delegated t</w:t>
      </w:r>
      <w:r w:rsidR="0003572C">
        <w:rPr>
          <w:rFonts w:ascii="Arial" w:hAnsi="Arial" w:cs="Arial"/>
          <w:sz w:val="22"/>
          <w:szCs w:val="22"/>
          <w:lang w:val="en-US"/>
        </w:rPr>
        <w:t xml:space="preserve">o </w:t>
      </w:r>
      <w:r w:rsidR="004D33CD">
        <w:rPr>
          <w:rFonts w:ascii="Arial" w:hAnsi="Arial" w:cs="Arial"/>
          <w:sz w:val="22"/>
          <w:szCs w:val="22"/>
          <w:lang w:val="en-US"/>
        </w:rPr>
        <w:t>e</w:t>
      </w:r>
      <w:r w:rsidR="0003572C">
        <w:rPr>
          <w:rFonts w:ascii="Arial" w:hAnsi="Arial" w:cs="Arial"/>
          <w:sz w:val="22"/>
          <w:szCs w:val="22"/>
          <w:lang w:val="en-US"/>
        </w:rPr>
        <w:t xml:space="preserve">xecutive staff or </w:t>
      </w:r>
      <w:r w:rsidR="004D33CD">
        <w:rPr>
          <w:rFonts w:ascii="Arial" w:hAnsi="Arial" w:cs="Arial"/>
          <w:sz w:val="22"/>
          <w:szCs w:val="22"/>
          <w:lang w:val="en-US"/>
        </w:rPr>
        <w:t>c</w:t>
      </w:r>
      <w:r w:rsidR="0003572C">
        <w:rPr>
          <w:rFonts w:ascii="Arial" w:hAnsi="Arial" w:cs="Arial"/>
          <w:sz w:val="22"/>
          <w:szCs w:val="22"/>
          <w:lang w:val="en-US"/>
        </w:rPr>
        <w:t>ommittees:</w:t>
      </w:r>
      <w:r w:rsidR="00ED6582" w:rsidRPr="0018347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A4B67" w:rsidRDefault="00ED6582" w:rsidP="000D225E">
      <w:pPr>
        <w:pStyle w:val="NoSpacing"/>
        <w:numPr>
          <w:ilvl w:val="0"/>
          <w:numId w:val="10"/>
        </w:numPr>
        <w:rPr>
          <w:rFonts w:cs="Arial"/>
          <w:sz w:val="22"/>
          <w:szCs w:val="22"/>
          <w:lang w:val="en-US"/>
        </w:rPr>
      </w:pPr>
      <w:r w:rsidRPr="008E574B">
        <w:rPr>
          <w:sz w:val="22"/>
          <w:szCs w:val="22"/>
          <w:lang w:val="en-US"/>
        </w:rPr>
        <w:t xml:space="preserve">Expansion of the Association’s operations into new activities or </w:t>
      </w:r>
      <w:r>
        <w:rPr>
          <w:sz w:val="22"/>
          <w:szCs w:val="22"/>
          <w:lang w:val="en-US"/>
        </w:rPr>
        <w:t>g</w:t>
      </w:r>
      <w:r w:rsidRPr="008E574B">
        <w:rPr>
          <w:sz w:val="22"/>
          <w:szCs w:val="22"/>
          <w:lang w:val="en-US"/>
        </w:rPr>
        <w:t>eographic areas.</w:t>
      </w:r>
    </w:p>
    <w:p w:rsidR="00CB468E" w:rsidRPr="006C0BEB" w:rsidRDefault="00CB468E" w:rsidP="000D225E">
      <w:pPr>
        <w:pStyle w:val="NormalWeb"/>
        <w:numPr>
          <w:ilvl w:val="0"/>
          <w:numId w:val="13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6C0BEB">
        <w:rPr>
          <w:rFonts w:ascii="Arial" w:hAnsi="Arial" w:cs="Arial"/>
          <w:sz w:val="22"/>
          <w:szCs w:val="22"/>
          <w:lang w:val="en-US"/>
        </w:rPr>
        <w:t xml:space="preserve">Cessation of any </w:t>
      </w:r>
      <w:r w:rsidR="00AB4F92" w:rsidRPr="006C0BEB">
        <w:rPr>
          <w:rFonts w:ascii="Arial" w:hAnsi="Arial" w:cs="Arial"/>
          <w:sz w:val="22"/>
          <w:szCs w:val="22"/>
          <w:lang w:val="en-US"/>
        </w:rPr>
        <w:t>material part of the Association’s operation.</w:t>
      </w:r>
    </w:p>
    <w:p w:rsidR="002A658B" w:rsidRDefault="002A658B" w:rsidP="000D225E">
      <w:pPr>
        <w:pStyle w:val="NormalWeb"/>
        <w:numPr>
          <w:ilvl w:val="0"/>
          <w:numId w:val="13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Approval of any loan</w:t>
      </w:r>
      <w:r w:rsidR="00C567F2">
        <w:rPr>
          <w:rFonts w:ascii="Arial" w:hAnsi="Arial" w:cs="Arial"/>
          <w:sz w:val="22"/>
          <w:szCs w:val="22"/>
          <w:lang w:val="en-US"/>
        </w:rPr>
        <w:t xml:space="preserve"> funding for</w:t>
      </w:r>
      <w:r w:rsidR="001A3989">
        <w:rPr>
          <w:rFonts w:ascii="Arial" w:hAnsi="Arial" w:cs="Arial"/>
          <w:sz w:val="22"/>
          <w:szCs w:val="22"/>
          <w:lang w:val="en-US"/>
        </w:rPr>
        <w:t xml:space="preserve"> the Association.</w:t>
      </w:r>
    </w:p>
    <w:p w:rsidR="00C567F2" w:rsidRDefault="00C567F2" w:rsidP="000D225E">
      <w:pPr>
        <w:pStyle w:val="NormalWeb"/>
        <w:numPr>
          <w:ilvl w:val="0"/>
          <w:numId w:val="13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Approval of the Association’s annual accounts.</w:t>
      </w:r>
    </w:p>
    <w:p w:rsidR="005A4B67" w:rsidRPr="006C0BEB" w:rsidRDefault="005A4B67" w:rsidP="000D225E">
      <w:pPr>
        <w:pStyle w:val="NormalWeb"/>
        <w:numPr>
          <w:ilvl w:val="0"/>
          <w:numId w:val="13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6C0BEB">
        <w:rPr>
          <w:rFonts w:ascii="Arial" w:hAnsi="Arial" w:cs="Arial"/>
          <w:sz w:val="22"/>
          <w:szCs w:val="22"/>
          <w:lang w:val="en-US"/>
        </w:rPr>
        <w:t>Approval of major capital projects</w:t>
      </w:r>
      <w:r w:rsidR="00C567F2">
        <w:rPr>
          <w:rFonts w:ascii="Arial" w:hAnsi="Arial" w:cs="Arial"/>
          <w:sz w:val="22"/>
          <w:szCs w:val="22"/>
          <w:lang w:val="en-US"/>
        </w:rPr>
        <w:t xml:space="preserve"> such as new housing developments.</w:t>
      </w:r>
      <w:r w:rsidRPr="006C0BE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C4B69" w:rsidRPr="004420A9" w:rsidRDefault="00D3775D" w:rsidP="004420A9">
      <w:pPr>
        <w:pStyle w:val="NormalWeb"/>
        <w:numPr>
          <w:ilvl w:val="0"/>
          <w:numId w:val="13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4420A9">
        <w:rPr>
          <w:rFonts w:ascii="Arial" w:hAnsi="Arial" w:cs="Arial"/>
          <w:sz w:val="22"/>
          <w:szCs w:val="22"/>
          <w:lang w:val="en-US"/>
        </w:rPr>
        <w:t xml:space="preserve">Ensuring </w:t>
      </w:r>
      <w:r w:rsidR="001C4B69" w:rsidRPr="004420A9">
        <w:rPr>
          <w:rFonts w:ascii="Arial" w:hAnsi="Arial" w:cs="Arial"/>
          <w:sz w:val="22"/>
          <w:szCs w:val="22"/>
          <w:lang w:val="en-US"/>
        </w:rPr>
        <w:t xml:space="preserve">compliance with the </w:t>
      </w:r>
      <w:r w:rsidR="00C567F2" w:rsidRPr="004420A9">
        <w:rPr>
          <w:rFonts w:ascii="Arial" w:hAnsi="Arial" w:cs="Arial"/>
          <w:sz w:val="22"/>
          <w:szCs w:val="22"/>
          <w:lang w:val="en-US"/>
        </w:rPr>
        <w:t xml:space="preserve">Governance and Viability Standards published by the Regulator of Social Housing </w:t>
      </w:r>
      <w:r w:rsidR="001C4B69" w:rsidRPr="004420A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D6582" w:rsidRPr="008E574B" w:rsidRDefault="00ED6582" w:rsidP="000D225E">
      <w:pPr>
        <w:pStyle w:val="NormalWeb"/>
        <w:numPr>
          <w:ilvl w:val="0"/>
          <w:numId w:val="13"/>
        </w:numPr>
        <w:spacing w:after="240" w:afterAutospacing="0" w:line="360" w:lineRule="auto"/>
        <w:rPr>
          <w:rFonts w:ascii="Arial" w:hAnsi="Arial" w:cs="Arial"/>
          <w:sz w:val="22"/>
          <w:szCs w:val="22"/>
          <w:lang w:val="en-US"/>
        </w:rPr>
      </w:pPr>
      <w:r w:rsidRPr="008E574B">
        <w:rPr>
          <w:rFonts w:ascii="Arial" w:hAnsi="Arial" w:cs="Arial"/>
          <w:sz w:val="22"/>
          <w:szCs w:val="22"/>
          <w:lang w:val="en-US"/>
        </w:rPr>
        <w:t xml:space="preserve">Changes to corporate structure, including the setting up of subsidiaries. </w:t>
      </w:r>
    </w:p>
    <w:p w:rsidR="005A4B67" w:rsidRDefault="005A4B67" w:rsidP="000D225E">
      <w:pPr>
        <w:pStyle w:val="NormalWeb"/>
        <w:numPr>
          <w:ilvl w:val="0"/>
          <w:numId w:val="13"/>
        </w:numPr>
        <w:spacing w:after="240" w:afterAutospacing="0" w:line="360" w:lineRule="auto"/>
        <w:rPr>
          <w:rFonts w:ascii="Arial" w:hAnsi="Arial" w:cs="Arial"/>
          <w:sz w:val="22"/>
          <w:szCs w:val="22"/>
          <w:lang w:val="en-US"/>
        </w:rPr>
      </w:pPr>
      <w:r w:rsidRPr="0018347E">
        <w:rPr>
          <w:rFonts w:ascii="Arial" w:hAnsi="Arial" w:cs="Arial"/>
          <w:sz w:val="22"/>
          <w:szCs w:val="22"/>
          <w:lang w:val="en-US"/>
        </w:rPr>
        <w:t xml:space="preserve">Appointments to the </w:t>
      </w:r>
      <w:r>
        <w:rPr>
          <w:rFonts w:ascii="Arial" w:hAnsi="Arial" w:cs="Arial"/>
          <w:sz w:val="22"/>
          <w:szCs w:val="22"/>
          <w:lang w:val="en-US"/>
        </w:rPr>
        <w:t>B</w:t>
      </w:r>
      <w:r w:rsidR="00C567F2">
        <w:rPr>
          <w:rFonts w:ascii="Arial" w:hAnsi="Arial" w:cs="Arial"/>
          <w:sz w:val="22"/>
          <w:szCs w:val="22"/>
          <w:lang w:val="en-US"/>
        </w:rPr>
        <w:t>oards of any subsidiaries.</w:t>
      </w:r>
    </w:p>
    <w:p w:rsidR="00ED6582" w:rsidRDefault="00ED6582" w:rsidP="000D225E">
      <w:pPr>
        <w:pStyle w:val="NormalWeb"/>
        <w:numPr>
          <w:ilvl w:val="0"/>
          <w:numId w:val="13"/>
        </w:numPr>
        <w:spacing w:after="240" w:afterAutospacing="0" w:line="360" w:lineRule="auto"/>
        <w:rPr>
          <w:rFonts w:ascii="Arial" w:hAnsi="Arial" w:cs="Arial"/>
          <w:sz w:val="22"/>
          <w:szCs w:val="22"/>
          <w:lang w:val="en-US"/>
        </w:rPr>
      </w:pPr>
      <w:r w:rsidRPr="0018347E">
        <w:rPr>
          <w:rFonts w:ascii="Arial" w:hAnsi="Arial" w:cs="Arial"/>
          <w:sz w:val="22"/>
          <w:szCs w:val="22"/>
          <w:lang w:val="en-US"/>
        </w:rPr>
        <w:t xml:space="preserve">Changes to the structure, size and composition of the </w:t>
      </w:r>
      <w:r w:rsidR="005A4B67">
        <w:rPr>
          <w:rFonts w:ascii="Arial" w:hAnsi="Arial" w:cs="Arial"/>
          <w:sz w:val="22"/>
          <w:szCs w:val="22"/>
          <w:lang w:val="en-US"/>
        </w:rPr>
        <w:t>B</w:t>
      </w:r>
      <w:r w:rsidRPr="0018347E">
        <w:rPr>
          <w:rFonts w:ascii="Arial" w:hAnsi="Arial" w:cs="Arial"/>
          <w:sz w:val="22"/>
          <w:szCs w:val="22"/>
          <w:lang w:val="en-US"/>
        </w:rPr>
        <w:t xml:space="preserve">oard. </w:t>
      </w:r>
    </w:p>
    <w:p w:rsidR="00D77F3A" w:rsidRDefault="00D77F3A" w:rsidP="000D225E">
      <w:pPr>
        <w:pStyle w:val="NoSpacing"/>
        <w:numPr>
          <w:ilvl w:val="0"/>
          <w:numId w:val="13"/>
        </w:numPr>
        <w:rPr>
          <w:sz w:val="22"/>
          <w:szCs w:val="22"/>
          <w:lang w:val="en-US"/>
        </w:rPr>
      </w:pPr>
      <w:r w:rsidRPr="00800C6B">
        <w:rPr>
          <w:sz w:val="22"/>
          <w:szCs w:val="22"/>
          <w:lang w:val="en-US"/>
        </w:rPr>
        <w:t xml:space="preserve">Appointment or removal of any </w:t>
      </w:r>
      <w:r>
        <w:rPr>
          <w:sz w:val="22"/>
          <w:szCs w:val="22"/>
          <w:lang w:val="en-US"/>
        </w:rPr>
        <w:t>member</w:t>
      </w:r>
      <w:r w:rsidRPr="00800C6B">
        <w:rPr>
          <w:sz w:val="22"/>
          <w:szCs w:val="22"/>
          <w:lang w:val="en-US"/>
        </w:rPr>
        <w:t xml:space="preserve"> of the </w:t>
      </w:r>
      <w:r>
        <w:rPr>
          <w:sz w:val="22"/>
          <w:szCs w:val="22"/>
          <w:lang w:val="en-US"/>
        </w:rPr>
        <w:t>B</w:t>
      </w:r>
      <w:r w:rsidRPr="00800C6B">
        <w:rPr>
          <w:sz w:val="22"/>
          <w:szCs w:val="22"/>
          <w:lang w:val="en-US"/>
        </w:rPr>
        <w:t xml:space="preserve">oard including the company </w:t>
      </w:r>
      <w:r>
        <w:rPr>
          <w:sz w:val="22"/>
          <w:szCs w:val="22"/>
          <w:lang w:val="en-US"/>
        </w:rPr>
        <w:t>secr</w:t>
      </w:r>
      <w:r w:rsidRPr="00800C6B">
        <w:rPr>
          <w:sz w:val="22"/>
          <w:szCs w:val="22"/>
          <w:lang w:val="en-US"/>
        </w:rPr>
        <w:t xml:space="preserve">etary. </w:t>
      </w:r>
    </w:p>
    <w:p w:rsidR="00CB468E" w:rsidRDefault="00CB468E" w:rsidP="000D225E">
      <w:pPr>
        <w:pStyle w:val="NoSpacing"/>
        <w:ind w:left="1440"/>
        <w:rPr>
          <w:sz w:val="22"/>
          <w:szCs w:val="22"/>
          <w:lang w:val="en-US"/>
        </w:rPr>
      </w:pPr>
    </w:p>
    <w:p w:rsidR="00CB468E" w:rsidRDefault="00D77F3A" w:rsidP="000D225E">
      <w:pPr>
        <w:pStyle w:val="NoSpacing"/>
        <w:numPr>
          <w:ilvl w:val="0"/>
          <w:numId w:val="13"/>
        </w:numPr>
        <w:rPr>
          <w:sz w:val="22"/>
          <w:szCs w:val="22"/>
          <w:lang w:val="en-US"/>
        </w:rPr>
      </w:pPr>
      <w:r w:rsidRPr="006042D9">
        <w:rPr>
          <w:sz w:val="22"/>
          <w:szCs w:val="22"/>
          <w:lang w:val="en-US"/>
        </w:rPr>
        <w:t xml:space="preserve">Ensuring adequate succession planning for </w:t>
      </w:r>
      <w:r>
        <w:rPr>
          <w:sz w:val="22"/>
          <w:szCs w:val="22"/>
          <w:lang w:val="en-US"/>
        </w:rPr>
        <w:t>B</w:t>
      </w:r>
      <w:r w:rsidRPr="006042D9">
        <w:rPr>
          <w:sz w:val="22"/>
          <w:szCs w:val="22"/>
          <w:lang w:val="en-US"/>
        </w:rPr>
        <w:t xml:space="preserve">oard and senior management appointments. </w:t>
      </w:r>
    </w:p>
    <w:p w:rsidR="00D77F3A" w:rsidRDefault="00D77F3A" w:rsidP="000D225E">
      <w:pPr>
        <w:pStyle w:val="NormalWeb"/>
        <w:numPr>
          <w:ilvl w:val="0"/>
          <w:numId w:val="13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6042D9">
        <w:rPr>
          <w:rFonts w:ascii="Arial" w:hAnsi="Arial" w:cs="Arial"/>
          <w:sz w:val="22"/>
          <w:szCs w:val="22"/>
          <w:lang w:val="en-US"/>
        </w:rPr>
        <w:t xml:space="preserve">Changes to the reserved </w:t>
      </w:r>
      <w:r w:rsidR="002A658B">
        <w:rPr>
          <w:rFonts w:ascii="Arial" w:hAnsi="Arial" w:cs="Arial"/>
          <w:sz w:val="22"/>
          <w:szCs w:val="22"/>
          <w:lang w:val="en-US"/>
        </w:rPr>
        <w:t xml:space="preserve">powers </w:t>
      </w:r>
      <w:r w:rsidRPr="006042D9">
        <w:rPr>
          <w:rFonts w:ascii="Arial" w:hAnsi="Arial" w:cs="Arial"/>
          <w:sz w:val="22"/>
          <w:szCs w:val="22"/>
          <w:lang w:val="en-US"/>
        </w:rPr>
        <w:t xml:space="preserve">for </w:t>
      </w:r>
      <w:r>
        <w:rPr>
          <w:rFonts w:ascii="Arial" w:hAnsi="Arial" w:cs="Arial"/>
          <w:sz w:val="22"/>
          <w:szCs w:val="22"/>
          <w:lang w:val="en-US"/>
        </w:rPr>
        <w:t>B</w:t>
      </w:r>
      <w:r w:rsidRPr="006042D9">
        <w:rPr>
          <w:rFonts w:ascii="Arial" w:hAnsi="Arial" w:cs="Arial"/>
          <w:sz w:val="22"/>
          <w:szCs w:val="22"/>
          <w:lang w:val="en-US"/>
        </w:rPr>
        <w:t>oard decision.</w:t>
      </w:r>
    </w:p>
    <w:p w:rsidR="00D77F3A" w:rsidRDefault="00D77F3A" w:rsidP="000D225E">
      <w:pPr>
        <w:pStyle w:val="NormalWeb"/>
        <w:numPr>
          <w:ilvl w:val="0"/>
          <w:numId w:val="13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6042D9">
        <w:rPr>
          <w:rFonts w:ascii="Arial" w:hAnsi="Arial" w:cs="Arial"/>
          <w:sz w:val="22"/>
          <w:szCs w:val="22"/>
          <w:lang w:val="en-US"/>
        </w:rPr>
        <w:t xml:space="preserve">Approval of </w:t>
      </w:r>
      <w:r>
        <w:rPr>
          <w:rFonts w:ascii="Arial" w:hAnsi="Arial" w:cs="Arial"/>
          <w:sz w:val="22"/>
          <w:szCs w:val="22"/>
          <w:lang w:val="en-US"/>
        </w:rPr>
        <w:t xml:space="preserve">identified </w:t>
      </w:r>
      <w:r w:rsidRPr="006042D9">
        <w:rPr>
          <w:rFonts w:ascii="Arial" w:hAnsi="Arial" w:cs="Arial"/>
          <w:sz w:val="22"/>
          <w:szCs w:val="22"/>
          <w:lang w:val="en-US"/>
        </w:rPr>
        <w:t xml:space="preserve">key policies, including a code of </w:t>
      </w:r>
      <w:r>
        <w:rPr>
          <w:rFonts w:ascii="Arial" w:hAnsi="Arial" w:cs="Arial"/>
          <w:sz w:val="22"/>
          <w:szCs w:val="22"/>
          <w:lang w:val="en-US"/>
        </w:rPr>
        <w:t>conduct for Board members.</w:t>
      </w:r>
    </w:p>
    <w:p w:rsidR="00D77F3A" w:rsidRDefault="00D77F3A" w:rsidP="000D225E">
      <w:pPr>
        <w:pStyle w:val="NormalWeb"/>
        <w:numPr>
          <w:ilvl w:val="0"/>
          <w:numId w:val="13"/>
        </w:numPr>
        <w:spacing w:after="240" w:afterAutospacing="0" w:line="360" w:lineRule="auto"/>
        <w:rPr>
          <w:rFonts w:ascii="Arial" w:hAnsi="Arial" w:cs="Arial"/>
          <w:sz w:val="22"/>
          <w:szCs w:val="22"/>
          <w:lang w:val="en-US"/>
        </w:rPr>
      </w:pPr>
      <w:r w:rsidRPr="0018347E">
        <w:rPr>
          <w:rFonts w:ascii="Arial" w:hAnsi="Arial" w:cs="Arial"/>
          <w:sz w:val="22"/>
          <w:szCs w:val="22"/>
          <w:lang w:val="en-US"/>
        </w:rPr>
        <w:t xml:space="preserve">Approval of resolutions to be put forward by the </w:t>
      </w:r>
      <w:r>
        <w:rPr>
          <w:rFonts w:ascii="Arial" w:hAnsi="Arial" w:cs="Arial"/>
          <w:sz w:val="22"/>
          <w:szCs w:val="22"/>
          <w:lang w:val="en-US"/>
        </w:rPr>
        <w:t>B</w:t>
      </w:r>
      <w:r w:rsidRPr="0018347E">
        <w:rPr>
          <w:rFonts w:ascii="Arial" w:hAnsi="Arial" w:cs="Arial"/>
          <w:sz w:val="22"/>
          <w:szCs w:val="22"/>
          <w:lang w:val="en-US"/>
        </w:rPr>
        <w:t>oard at a general meeting.</w:t>
      </w:r>
    </w:p>
    <w:p w:rsidR="00D77F3A" w:rsidRDefault="00D77F3A" w:rsidP="000D225E">
      <w:pPr>
        <w:pStyle w:val="NormalWeb"/>
        <w:numPr>
          <w:ilvl w:val="0"/>
          <w:numId w:val="13"/>
        </w:numPr>
        <w:spacing w:after="240" w:afterAutospacing="0"/>
        <w:rPr>
          <w:rFonts w:ascii="Arial" w:hAnsi="Arial" w:cs="Arial"/>
          <w:sz w:val="22"/>
          <w:szCs w:val="22"/>
          <w:lang w:val="en-US"/>
        </w:rPr>
      </w:pPr>
      <w:r w:rsidRPr="006042D9">
        <w:rPr>
          <w:rFonts w:ascii="Arial" w:hAnsi="Arial" w:cs="Arial"/>
          <w:sz w:val="22"/>
          <w:szCs w:val="22"/>
          <w:lang w:val="en-US"/>
        </w:rPr>
        <w:t xml:space="preserve">Any </w:t>
      </w:r>
      <w:r w:rsidR="00032F8A">
        <w:rPr>
          <w:rFonts w:ascii="Arial" w:hAnsi="Arial" w:cs="Arial"/>
          <w:sz w:val="22"/>
          <w:szCs w:val="22"/>
          <w:lang w:val="en-US"/>
        </w:rPr>
        <w:t xml:space="preserve">decision regarding </w:t>
      </w:r>
      <w:r w:rsidRPr="006042D9">
        <w:rPr>
          <w:rFonts w:ascii="Arial" w:hAnsi="Arial" w:cs="Arial"/>
          <w:sz w:val="22"/>
          <w:szCs w:val="22"/>
          <w:lang w:val="en-US"/>
        </w:rPr>
        <w:t xml:space="preserve">conflicts of interest arising for individual </w:t>
      </w:r>
      <w:r w:rsidR="00C567F2">
        <w:rPr>
          <w:rFonts w:ascii="Arial" w:hAnsi="Arial" w:cs="Arial"/>
          <w:sz w:val="22"/>
          <w:szCs w:val="22"/>
          <w:lang w:val="en-US"/>
        </w:rPr>
        <w:t>B</w:t>
      </w:r>
      <w:r w:rsidRPr="006042D9">
        <w:rPr>
          <w:rFonts w:ascii="Arial" w:hAnsi="Arial" w:cs="Arial"/>
          <w:sz w:val="22"/>
          <w:szCs w:val="22"/>
          <w:lang w:val="en-US"/>
        </w:rPr>
        <w:t xml:space="preserve">oard members. </w:t>
      </w:r>
    </w:p>
    <w:p w:rsidR="005A4B67" w:rsidRDefault="008669E3" w:rsidP="000D225E">
      <w:pPr>
        <w:pStyle w:val="NoSpacing"/>
        <w:numPr>
          <w:ilvl w:val="0"/>
          <w:numId w:val="13"/>
        </w:numPr>
        <w:rPr>
          <w:sz w:val="22"/>
          <w:szCs w:val="22"/>
          <w:lang w:val="en-US"/>
        </w:rPr>
      </w:pPr>
      <w:r w:rsidRPr="00032F8A">
        <w:rPr>
          <w:sz w:val="22"/>
          <w:szCs w:val="22"/>
          <w:lang w:val="en-US"/>
        </w:rPr>
        <w:t xml:space="preserve">Approval of </w:t>
      </w:r>
      <w:r w:rsidR="00D3775D">
        <w:rPr>
          <w:sz w:val="22"/>
          <w:szCs w:val="22"/>
          <w:lang w:val="en-US"/>
        </w:rPr>
        <w:t xml:space="preserve">the </w:t>
      </w:r>
      <w:r w:rsidRPr="00032F8A">
        <w:rPr>
          <w:sz w:val="22"/>
          <w:szCs w:val="22"/>
          <w:lang w:val="en-US"/>
        </w:rPr>
        <w:t xml:space="preserve">terms of reference, </w:t>
      </w:r>
      <w:r w:rsidR="00ED6582" w:rsidRPr="00032F8A">
        <w:rPr>
          <w:sz w:val="22"/>
          <w:szCs w:val="22"/>
          <w:lang w:val="en-US"/>
        </w:rPr>
        <w:t>membe</w:t>
      </w:r>
      <w:r w:rsidRPr="00032F8A">
        <w:rPr>
          <w:sz w:val="22"/>
          <w:szCs w:val="22"/>
          <w:lang w:val="en-US"/>
        </w:rPr>
        <w:t xml:space="preserve">rship and </w:t>
      </w:r>
      <w:r w:rsidR="00CB468E">
        <w:rPr>
          <w:sz w:val="22"/>
          <w:szCs w:val="22"/>
          <w:lang w:val="en-US"/>
        </w:rPr>
        <w:t>the C</w:t>
      </w:r>
      <w:r w:rsidRPr="00032F8A">
        <w:rPr>
          <w:sz w:val="22"/>
          <w:szCs w:val="22"/>
          <w:lang w:val="en-US"/>
        </w:rPr>
        <w:t>hairs</w:t>
      </w:r>
      <w:r w:rsidR="00D3775D">
        <w:rPr>
          <w:sz w:val="22"/>
          <w:szCs w:val="22"/>
          <w:lang w:val="en-US"/>
        </w:rPr>
        <w:t xml:space="preserve"> of c</w:t>
      </w:r>
      <w:r w:rsidR="00D3775D" w:rsidRPr="00032F8A">
        <w:rPr>
          <w:sz w:val="22"/>
          <w:szCs w:val="22"/>
          <w:lang w:val="en-US"/>
        </w:rPr>
        <w:t>ommittee</w:t>
      </w:r>
      <w:r w:rsidR="006C0BEB">
        <w:rPr>
          <w:sz w:val="22"/>
          <w:szCs w:val="22"/>
          <w:lang w:val="en-US"/>
        </w:rPr>
        <w:t>s</w:t>
      </w:r>
      <w:r w:rsidR="00D3775D" w:rsidRPr="00032F8A">
        <w:rPr>
          <w:sz w:val="22"/>
          <w:szCs w:val="22"/>
          <w:lang w:val="en-US"/>
        </w:rPr>
        <w:t xml:space="preserve"> and </w:t>
      </w:r>
      <w:r w:rsidR="00D3775D">
        <w:rPr>
          <w:sz w:val="22"/>
          <w:szCs w:val="22"/>
          <w:lang w:val="en-US"/>
        </w:rPr>
        <w:t>w</w:t>
      </w:r>
      <w:r w:rsidR="00D3775D" w:rsidRPr="00032F8A">
        <w:rPr>
          <w:sz w:val="22"/>
          <w:szCs w:val="22"/>
          <w:lang w:val="en-US"/>
        </w:rPr>
        <w:t xml:space="preserve">orking </w:t>
      </w:r>
      <w:r w:rsidR="00D3775D">
        <w:rPr>
          <w:sz w:val="22"/>
          <w:szCs w:val="22"/>
          <w:lang w:val="en-US"/>
        </w:rPr>
        <w:t>p</w:t>
      </w:r>
      <w:r w:rsidR="00D3775D" w:rsidRPr="00032F8A">
        <w:rPr>
          <w:sz w:val="22"/>
          <w:szCs w:val="22"/>
          <w:lang w:val="en-US"/>
        </w:rPr>
        <w:t>art</w:t>
      </w:r>
      <w:r w:rsidR="00D3775D">
        <w:rPr>
          <w:sz w:val="22"/>
          <w:szCs w:val="22"/>
          <w:lang w:val="en-US"/>
        </w:rPr>
        <w:t>ies.</w:t>
      </w:r>
    </w:p>
    <w:p w:rsidR="000D225E" w:rsidRDefault="000D225E" w:rsidP="000D225E">
      <w:pPr>
        <w:pStyle w:val="NoSpacing"/>
        <w:rPr>
          <w:sz w:val="22"/>
          <w:szCs w:val="22"/>
          <w:lang w:val="en-US"/>
        </w:rPr>
      </w:pPr>
    </w:p>
    <w:p w:rsidR="000D225E" w:rsidRDefault="000D225E" w:rsidP="000D225E">
      <w:pPr>
        <w:pStyle w:val="NoSpacing"/>
        <w:rPr>
          <w:sz w:val="22"/>
          <w:szCs w:val="22"/>
          <w:lang w:val="en-US"/>
        </w:rPr>
      </w:pPr>
    </w:p>
    <w:p w:rsidR="004420A9" w:rsidRDefault="004420A9" w:rsidP="000D225E">
      <w:pPr>
        <w:pStyle w:val="NoSpacing"/>
        <w:rPr>
          <w:sz w:val="22"/>
          <w:szCs w:val="22"/>
          <w:lang w:val="en-US"/>
        </w:rPr>
      </w:pPr>
    </w:p>
    <w:p w:rsidR="004420A9" w:rsidRDefault="004420A9" w:rsidP="000D225E">
      <w:pPr>
        <w:pStyle w:val="NoSpacing"/>
        <w:rPr>
          <w:sz w:val="22"/>
          <w:szCs w:val="22"/>
          <w:lang w:val="en-US"/>
        </w:rPr>
      </w:pPr>
    </w:p>
    <w:p w:rsidR="004420A9" w:rsidRDefault="004420A9" w:rsidP="000D225E">
      <w:pPr>
        <w:pStyle w:val="NoSpacing"/>
        <w:rPr>
          <w:sz w:val="22"/>
          <w:szCs w:val="22"/>
          <w:lang w:val="en-US"/>
        </w:rPr>
      </w:pPr>
    </w:p>
    <w:p w:rsidR="00142F95" w:rsidRDefault="000D225E" w:rsidP="000D225E">
      <w:pPr>
        <w:pStyle w:val="NormalWeb"/>
        <w:numPr>
          <w:ilvl w:val="0"/>
          <w:numId w:val="3"/>
        </w:numPr>
        <w:spacing w:after="240" w:afterAutospacing="0"/>
        <w:rPr>
          <w:rFonts w:ascii="Arial" w:hAnsi="Arial" w:cs="Arial"/>
          <w:b/>
          <w:bCs/>
          <w:sz w:val="22"/>
          <w:szCs w:val="22"/>
          <w:lang w:val="en-US"/>
        </w:rPr>
      </w:pPr>
      <w:r w:rsidRPr="00142F95">
        <w:rPr>
          <w:rFonts w:ascii="MS Reference Sans Serif" w:hAnsi="MS Reference Sans Serif"/>
          <w:noProof/>
          <w:sz w:val="22"/>
          <w:lang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7106135</wp:posOffset>
            </wp:positionH>
            <wp:positionV relativeFrom="page">
              <wp:posOffset>-1438287</wp:posOffset>
            </wp:positionV>
            <wp:extent cx="2148284" cy="1889179"/>
            <wp:effectExtent l="0" t="133350" r="0" b="111125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2160726" cy="1900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F95" w:rsidRPr="00755CC1">
        <w:rPr>
          <w:rFonts w:ascii="Arial" w:hAnsi="Arial" w:cs="Arial"/>
          <w:b/>
          <w:bCs/>
          <w:sz w:val="22"/>
          <w:szCs w:val="22"/>
          <w:lang w:val="en-US"/>
        </w:rPr>
        <w:t xml:space="preserve">The Committee Structure </w:t>
      </w:r>
    </w:p>
    <w:p w:rsidR="00142F95" w:rsidRPr="00B135FE" w:rsidRDefault="00142F95" w:rsidP="000D225E">
      <w:pPr>
        <w:ind w:left="720" w:right="235"/>
        <w:jc w:val="left"/>
        <w:rPr>
          <w:rFonts w:ascii="Arial" w:eastAsiaTheme="minorEastAsia" w:hAnsi="Arial" w:cs="Arial"/>
          <w:color w:val="auto"/>
          <w:sz w:val="22"/>
          <w:lang w:val="en-US" w:bidi="bn-IN"/>
        </w:rPr>
      </w:pPr>
      <w:r w:rsidRPr="00B135FE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The strategic governance activities of the Board will be supported by a </w:t>
      </w:r>
      <w:r w:rsidR="006C0BEB">
        <w:rPr>
          <w:rFonts w:ascii="Arial" w:eastAsiaTheme="minorEastAsia" w:hAnsi="Arial" w:cs="Arial"/>
          <w:color w:val="auto"/>
          <w:sz w:val="22"/>
          <w:lang w:val="en-US" w:bidi="bn-IN"/>
        </w:rPr>
        <w:t>c</w:t>
      </w:r>
      <w:r w:rsidRPr="00B135FE">
        <w:rPr>
          <w:rFonts w:ascii="Arial" w:eastAsiaTheme="minorEastAsia" w:hAnsi="Arial" w:cs="Arial"/>
          <w:color w:val="auto"/>
          <w:sz w:val="22"/>
          <w:lang w:val="en-US" w:bidi="bn-IN"/>
        </w:rPr>
        <w:t>ommittee structure</w:t>
      </w:r>
      <w:r w:rsidR="00D3775D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 comprising</w:t>
      </w:r>
      <w:r w:rsidRPr="00B135FE">
        <w:rPr>
          <w:rFonts w:ascii="Arial" w:eastAsiaTheme="minorEastAsia" w:hAnsi="Arial" w:cs="Arial"/>
          <w:color w:val="auto"/>
          <w:sz w:val="22"/>
          <w:lang w:val="en-US" w:bidi="bn-IN"/>
        </w:rPr>
        <w:t>:</w:t>
      </w:r>
      <w:r w:rsidR="004D33CD">
        <w:rPr>
          <w:rFonts w:ascii="Arial" w:eastAsiaTheme="minorEastAsia" w:hAnsi="Arial" w:cs="Arial"/>
          <w:color w:val="auto"/>
          <w:sz w:val="22"/>
          <w:lang w:val="en-US" w:bidi="bn-IN"/>
        </w:rPr>
        <w:t xml:space="preserve"> </w:t>
      </w:r>
    </w:p>
    <w:p w:rsidR="00B135FE" w:rsidRPr="00B135FE" w:rsidRDefault="00B135FE" w:rsidP="000D225E">
      <w:pPr>
        <w:ind w:left="720" w:right="235"/>
        <w:jc w:val="left"/>
        <w:rPr>
          <w:rFonts w:ascii="Arial" w:eastAsiaTheme="minorHAnsi" w:hAnsi="Arial" w:cstheme="minorBidi"/>
          <w:color w:val="auto"/>
          <w:sz w:val="22"/>
          <w:lang w:val="en-US" w:eastAsia="en-US" w:bidi="bn-IN"/>
        </w:rPr>
      </w:pPr>
    </w:p>
    <w:p w:rsidR="00142F95" w:rsidRPr="00B135FE" w:rsidRDefault="00142F95" w:rsidP="000D225E">
      <w:pPr>
        <w:pStyle w:val="ListParagraph"/>
        <w:numPr>
          <w:ilvl w:val="0"/>
          <w:numId w:val="7"/>
        </w:numPr>
        <w:ind w:left="1449" w:right="235"/>
        <w:jc w:val="left"/>
        <w:rPr>
          <w:rFonts w:ascii="Arial" w:eastAsiaTheme="minorHAnsi" w:hAnsi="Arial" w:cstheme="minorBidi"/>
          <w:color w:val="auto"/>
          <w:sz w:val="22"/>
          <w:lang w:val="en-US" w:eastAsia="en-US" w:bidi="bn-IN"/>
        </w:rPr>
      </w:pPr>
      <w:r w:rsidRPr="00B135FE">
        <w:rPr>
          <w:rFonts w:ascii="Arial" w:eastAsiaTheme="minorHAnsi" w:hAnsi="Arial" w:cstheme="minorBidi"/>
          <w:color w:val="auto"/>
          <w:sz w:val="22"/>
          <w:lang w:val="en-US" w:eastAsia="en-US" w:bidi="bn-IN"/>
        </w:rPr>
        <w:t xml:space="preserve">Audit </w:t>
      </w:r>
      <w:r w:rsidR="00755CC1" w:rsidRPr="00B135FE">
        <w:rPr>
          <w:rFonts w:ascii="Arial" w:eastAsiaTheme="minorHAnsi" w:hAnsi="Arial" w:cstheme="minorBidi"/>
          <w:color w:val="auto"/>
          <w:sz w:val="22"/>
          <w:lang w:val="en-US" w:eastAsia="en-US" w:bidi="bn-IN"/>
        </w:rPr>
        <w:t xml:space="preserve">and Risk </w:t>
      </w:r>
      <w:r w:rsidR="006C0BEB">
        <w:rPr>
          <w:rFonts w:ascii="Arial" w:eastAsiaTheme="minorHAnsi" w:hAnsi="Arial" w:cstheme="minorBidi"/>
          <w:color w:val="auto"/>
          <w:sz w:val="22"/>
          <w:lang w:val="en-US" w:eastAsia="en-US" w:bidi="bn-IN"/>
        </w:rPr>
        <w:t>Committee.</w:t>
      </w:r>
    </w:p>
    <w:p w:rsidR="00B135FE" w:rsidRDefault="00B135FE" w:rsidP="000D225E">
      <w:pPr>
        <w:pStyle w:val="ListParagraph"/>
        <w:numPr>
          <w:ilvl w:val="0"/>
          <w:numId w:val="7"/>
        </w:numPr>
        <w:ind w:left="1449" w:right="235"/>
        <w:jc w:val="left"/>
        <w:rPr>
          <w:rFonts w:ascii="Arial" w:eastAsiaTheme="minorHAnsi" w:hAnsi="Arial" w:cstheme="minorBidi"/>
          <w:color w:val="auto"/>
          <w:sz w:val="22"/>
          <w:lang w:val="en-US" w:eastAsia="en-US" w:bidi="bn-IN"/>
        </w:rPr>
      </w:pPr>
      <w:r>
        <w:rPr>
          <w:rFonts w:ascii="Arial" w:eastAsiaTheme="minorHAnsi" w:hAnsi="Arial" w:cstheme="minorBidi"/>
          <w:color w:val="auto"/>
          <w:sz w:val="22"/>
          <w:lang w:val="en-US" w:eastAsia="en-US" w:bidi="bn-IN"/>
        </w:rPr>
        <w:t>Operations Committee</w:t>
      </w:r>
      <w:r w:rsidR="006C0BEB">
        <w:rPr>
          <w:rFonts w:ascii="Arial" w:eastAsiaTheme="minorHAnsi" w:hAnsi="Arial" w:cstheme="minorBidi"/>
          <w:color w:val="auto"/>
          <w:sz w:val="22"/>
          <w:lang w:val="en-US" w:eastAsia="en-US" w:bidi="bn-IN"/>
        </w:rPr>
        <w:t>.</w:t>
      </w:r>
    </w:p>
    <w:p w:rsidR="00142F95" w:rsidRDefault="00142F95" w:rsidP="000D225E">
      <w:pPr>
        <w:pStyle w:val="ListParagraph"/>
        <w:numPr>
          <w:ilvl w:val="0"/>
          <w:numId w:val="7"/>
        </w:numPr>
        <w:ind w:left="1449" w:right="235"/>
        <w:jc w:val="left"/>
        <w:rPr>
          <w:rFonts w:ascii="Arial" w:eastAsiaTheme="minorHAnsi" w:hAnsi="Arial" w:cstheme="minorBidi"/>
          <w:color w:val="auto"/>
          <w:sz w:val="22"/>
          <w:lang w:val="en-US" w:eastAsia="en-US" w:bidi="bn-IN"/>
        </w:rPr>
      </w:pPr>
      <w:r w:rsidRPr="00B135FE">
        <w:rPr>
          <w:rFonts w:ascii="Arial" w:eastAsiaTheme="minorHAnsi" w:hAnsi="Arial" w:cstheme="minorBidi"/>
          <w:color w:val="auto"/>
          <w:sz w:val="22"/>
          <w:lang w:val="en-US" w:eastAsia="en-US" w:bidi="bn-IN"/>
        </w:rPr>
        <w:t>Governance and Remuneration Committee</w:t>
      </w:r>
      <w:r w:rsidR="00D77F3A">
        <w:rPr>
          <w:rFonts w:ascii="Arial" w:eastAsiaTheme="minorHAnsi" w:hAnsi="Arial" w:cstheme="minorBidi"/>
          <w:color w:val="auto"/>
          <w:sz w:val="22"/>
          <w:lang w:val="en-US" w:eastAsia="en-US" w:bidi="bn-IN"/>
        </w:rPr>
        <w:t>.</w:t>
      </w:r>
    </w:p>
    <w:p w:rsidR="006C0BEB" w:rsidRPr="00EF3B13" w:rsidRDefault="00AB2063" w:rsidP="000D225E">
      <w:pPr>
        <w:pStyle w:val="ListParagraph"/>
        <w:numPr>
          <w:ilvl w:val="0"/>
          <w:numId w:val="7"/>
        </w:numPr>
        <w:ind w:left="1449" w:right="235"/>
        <w:jc w:val="left"/>
        <w:rPr>
          <w:rFonts w:ascii="Arial" w:eastAsiaTheme="minorHAnsi" w:hAnsi="Arial" w:cstheme="minorBidi"/>
          <w:color w:val="auto"/>
          <w:sz w:val="22"/>
          <w:lang w:val="en-US" w:eastAsia="en-US" w:bidi="bn-IN"/>
        </w:rPr>
      </w:pPr>
      <w:r w:rsidRPr="00EF3B13">
        <w:rPr>
          <w:rFonts w:ascii="Arial" w:eastAsiaTheme="minorHAnsi" w:hAnsi="Arial" w:cstheme="minorBidi"/>
          <w:color w:val="auto"/>
          <w:sz w:val="22"/>
          <w:lang w:val="en-US" w:eastAsia="en-US" w:bidi="bn-IN"/>
        </w:rPr>
        <w:t xml:space="preserve">Treasury Management </w:t>
      </w:r>
      <w:r w:rsidR="000D225E">
        <w:rPr>
          <w:rFonts w:ascii="Arial" w:eastAsiaTheme="minorHAnsi" w:hAnsi="Arial" w:cstheme="minorBidi"/>
          <w:color w:val="auto"/>
          <w:sz w:val="22"/>
          <w:lang w:val="en-US" w:eastAsia="en-US" w:bidi="bn-IN"/>
        </w:rPr>
        <w:t xml:space="preserve">and Loans </w:t>
      </w:r>
      <w:r w:rsidRPr="00EF3B13">
        <w:rPr>
          <w:rFonts w:ascii="Arial" w:eastAsiaTheme="minorHAnsi" w:hAnsi="Arial" w:cstheme="minorBidi"/>
          <w:color w:val="auto"/>
          <w:sz w:val="22"/>
          <w:lang w:val="en-US" w:eastAsia="en-US" w:bidi="bn-IN"/>
        </w:rPr>
        <w:t>Committee</w:t>
      </w:r>
      <w:r w:rsidR="001A3989" w:rsidRPr="00EF3B13">
        <w:rPr>
          <w:rFonts w:ascii="Arial" w:eastAsiaTheme="minorHAnsi" w:hAnsi="Arial" w:cstheme="minorBidi"/>
          <w:color w:val="auto"/>
          <w:sz w:val="22"/>
          <w:lang w:val="en-US" w:eastAsia="en-US" w:bidi="bn-IN"/>
        </w:rPr>
        <w:t xml:space="preserve"> </w:t>
      </w:r>
    </w:p>
    <w:p w:rsidR="00142F95" w:rsidRPr="00142F95" w:rsidRDefault="00142F95" w:rsidP="000D225E">
      <w:pPr>
        <w:spacing w:after="0" w:line="259" w:lineRule="auto"/>
        <w:ind w:left="-1440" w:right="10464" w:firstLine="0"/>
        <w:jc w:val="left"/>
        <w:rPr>
          <w:rFonts w:ascii="MS Reference Sans Serif" w:hAnsi="MS Reference Sans Serif"/>
          <w:color w:val="auto"/>
          <w:sz w:val="22"/>
        </w:rPr>
      </w:pPr>
    </w:p>
    <w:sectPr w:rsidR="00142F95" w:rsidRPr="00142F95" w:rsidSect="00FB3928">
      <w:headerReference w:type="default" r:id="rId10"/>
      <w:footerReference w:type="even" r:id="rId11"/>
      <w:footerReference w:type="default" r:id="rId12"/>
      <w:footerReference w:type="first" r:id="rId13"/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BD" w:rsidRDefault="00B83DBD" w:rsidP="00142F95">
      <w:pPr>
        <w:spacing w:after="0" w:line="240" w:lineRule="auto"/>
      </w:pPr>
      <w:r>
        <w:separator/>
      </w:r>
    </w:p>
  </w:endnote>
  <w:endnote w:type="continuationSeparator" w:id="0">
    <w:p w:rsidR="00B83DBD" w:rsidRDefault="00B83DBD" w:rsidP="0014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BD" w:rsidRDefault="00B83DB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BD" w:rsidRDefault="00B83DB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BD" w:rsidRDefault="00B83DB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BD" w:rsidRDefault="00B83DBD" w:rsidP="00142F95">
      <w:pPr>
        <w:spacing w:after="0" w:line="240" w:lineRule="auto"/>
      </w:pPr>
      <w:r>
        <w:separator/>
      </w:r>
    </w:p>
  </w:footnote>
  <w:footnote w:type="continuationSeparator" w:id="0">
    <w:p w:rsidR="00B83DBD" w:rsidRDefault="00B83DBD" w:rsidP="0014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BD" w:rsidRDefault="00B83DBD" w:rsidP="005313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3.3pt;height:12.65pt" coordsize="" o:spt="100" o:bullet="t" adj="0,,0" path="" stroked="f">
        <v:stroke joinstyle="miter"/>
        <v:imagedata r:id="rId1" o:title="image39"/>
        <v:formulas/>
        <v:path o:connecttype="segments"/>
      </v:shape>
    </w:pict>
  </w:numPicBullet>
  <w:numPicBullet w:numPicBulletId="1">
    <w:pict>
      <v:shape id="_x0000_i1027" style="width:12.65pt;height:12.65pt" coordsize="" o:spt="100" o:bullet="t" adj="0,,0" path="" stroked="f">
        <v:stroke joinstyle="miter"/>
        <v:imagedata r:id="rId2" o:title="image40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3.25pt;height:15.7pt;visibility:visible;mso-wrap-style:square" o:bullet="t">
        <v:imagedata r:id="rId3" o:title=""/>
      </v:shape>
    </w:pict>
  </w:numPicBullet>
  <w:abstractNum w:abstractNumId="0" w15:restartNumberingAfterBreak="0">
    <w:nsid w:val="0DC32848"/>
    <w:multiLevelType w:val="hybridMultilevel"/>
    <w:tmpl w:val="112E90D2"/>
    <w:lvl w:ilvl="0" w:tplc="08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22C1118D"/>
    <w:multiLevelType w:val="hybridMultilevel"/>
    <w:tmpl w:val="C6F43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A7648"/>
    <w:multiLevelType w:val="hybridMultilevel"/>
    <w:tmpl w:val="EF96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317DB"/>
    <w:multiLevelType w:val="hybridMultilevel"/>
    <w:tmpl w:val="D7D0F3E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1042B00"/>
    <w:multiLevelType w:val="hybridMultilevel"/>
    <w:tmpl w:val="953E0110"/>
    <w:lvl w:ilvl="0" w:tplc="22A2ED3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8D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821B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CA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2B1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44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C9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67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AE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09B409C"/>
    <w:multiLevelType w:val="hybridMultilevel"/>
    <w:tmpl w:val="E52C5EEA"/>
    <w:lvl w:ilvl="0" w:tplc="0809000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 w15:restartNumberingAfterBreak="0">
    <w:nsid w:val="4E4D2C22"/>
    <w:multiLevelType w:val="hybridMultilevel"/>
    <w:tmpl w:val="F7E6C7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536FA"/>
    <w:multiLevelType w:val="hybridMultilevel"/>
    <w:tmpl w:val="C1EE8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C0B07"/>
    <w:multiLevelType w:val="hybridMultilevel"/>
    <w:tmpl w:val="9F38C024"/>
    <w:lvl w:ilvl="0" w:tplc="2A58D0D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68293D1A"/>
    <w:multiLevelType w:val="hybridMultilevel"/>
    <w:tmpl w:val="BD96D5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2A14EC"/>
    <w:multiLevelType w:val="multilevel"/>
    <w:tmpl w:val="BF327CA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48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5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6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7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8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8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96" w:hanging="708"/>
      </w:pPr>
    </w:lvl>
  </w:abstractNum>
  <w:abstractNum w:abstractNumId="11" w15:restartNumberingAfterBreak="0">
    <w:nsid w:val="723A66C5"/>
    <w:multiLevelType w:val="hybridMultilevel"/>
    <w:tmpl w:val="E40E85BC"/>
    <w:lvl w:ilvl="0" w:tplc="E4DC5BCC">
      <w:start w:val="1"/>
      <w:numFmt w:val="bullet"/>
      <w:lvlText w:val="•"/>
      <w:lvlPicBulletId w:val="0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E2FB80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C073EE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745CFC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44E0C4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22B28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DE2A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F41C56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36051A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E778AF"/>
    <w:multiLevelType w:val="hybridMultilevel"/>
    <w:tmpl w:val="67A485A0"/>
    <w:lvl w:ilvl="0" w:tplc="BEB6040A">
      <w:start w:val="1"/>
      <w:numFmt w:val="bullet"/>
      <w:lvlText w:val="•"/>
      <w:lvlPicBulletId w:val="1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B618CE">
      <w:start w:val="1"/>
      <w:numFmt w:val="bullet"/>
      <w:lvlText w:val="o"/>
      <w:lvlJc w:val="left"/>
      <w:pPr>
        <w:ind w:left="1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8E240">
      <w:start w:val="1"/>
      <w:numFmt w:val="bullet"/>
      <w:lvlText w:val="▪"/>
      <w:lvlJc w:val="left"/>
      <w:pPr>
        <w:ind w:left="2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6CA414">
      <w:start w:val="1"/>
      <w:numFmt w:val="bullet"/>
      <w:lvlText w:val="•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8E10AC">
      <w:start w:val="1"/>
      <w:numFmt w:val="bullet"/>
      <w:lvlText w:val="o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40EB40">
      <w:start w:val="1"/>
      <w:numFmt w:val="bullet"/>
      <w:lvlText w:val="▪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3E2A5C">
      <w:start w:val="1"/>
      <w:numFmt w:val="bullet"/>
      <w:lvlText w:val="•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F8C9CE">
      <w:start w:val="1"/>
      <w:numFmt w:val="bullet"/>
      <w:lvlText w:val="o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4CD3A">
      <w:start w:val="1"/>
      <w:numFmt w:val="bullet"/>
      <w:lvlText w:val="▪"/>
      <w:lvlJc w:val="left"/>
      <w:pPr>
        <w:ind w:left="6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F95"/>
    <w:rsid w:val="00032F8A"/>
    <w:rsid w:val="0003566D"/>
    <w:rsid w:val="0003572C"/>
    <w:rsid w:val="000449FD"/>
    <w:rsid w:val="00074B2D"/>
    <w:rsid w:val="00094E16"/>
    <w:rsid w:val="000C169F"/>
    <w:rsid w:val="000C6016"/>
    <w:rsid w:val="000D225E"/>
    <w:rsid w:val="001031C1"/>
    <w:rsid w:val="00107CA7"/>
    <w:rsid w:val="00123F10"/>
    <w:rsid w:val="00142F95"/>
    <w:rsid w:val="001430C9"/>
    <w:rsid w:val="00182065"/>
    <w:rsid w:val="001A3989"/>
    <w:rsid w:val="001B6EF7"/>
    <w:rsid w:val="001C4B69"/>
    <w:rsid w:val="00290207"/>
    <w:rsid w:val="002A658B"/>
    <w:rsid w:val="002B004A"/>
    <w:rsid w:val="00353CE5"/>
    <w:rsid w:val="00394BBC"/>
    <w:rsid w:val="003F0775"/>
    <w:rsid w:val="004369DD"/>
    <w:rsid w:val="004420A9"/>
    <w:rsid w:val="004625C2"/>
    <w:rsid w:val="004D33CD"/>
    <w:rsid w:val="005016E5"/>
    <w:rsid w:val="005313F6"/>
    <w:rsid w:val="005862CA"/>
    <w:rsid w:val="005A4B67"/>
    <w:rsid w:val="005B0DEB"/>
    <w:rsid w:val="005F417B"/>
    <w:rsid w:val="00630CC1"/>
    <w:rsid w:val="00652810"/>
    <w:rsid w:val="00686002"/>
    <w:rsid w:val="006C0BEB"/>
    <w:rsid w:val="006F5315"/>
    <w:rsid w:val="006F753B"/>
    <w:rsid w:val="00712C16"/>
    <w:rsid w:val="00755CC1"/>
    <w:rsid w:val="007C6002"/>
    <w:rsid w:val="007E1597"/>
    <w:rsid w:val="007F3148"/>
    <w:rsid w:val="00854C60"/>
    <w:rsid w:val="00854CA9"/>
    <w:rsid w:val="00863473"/>
    <w:rsid w:val="008669E3"/>
    <w:rsid w:val="008D042E"/>
    <w:rsid w:val="009079E5"/>
    <w:rsid w:val="00921D45"/>
    <w:rsid w:val="00942A45"/>
    <w:rsid w:val="009B5310"/>
    <w:rsid w:val="009C635F"/>
    <w:rsid w:val="009E7078"/>
    <w:rsid w:val="00A42219"/>
    <w:rsid w:val="00A46714"/>
    <w:rsid w:val="00AB2063"/>
    <w:rsid w:val="00AB4F92"/>
    <w:rsid w:val="00B135FE"/>
    <w:rsid w:val="00B3097F"/>
    <w:rsid w:val="00B44433"/>
    <w:rsid w:val="00B57742"/>
    <w:rsid w:val="00B83DBD"/>
    <w:rsid w:val="00C567F2"/>
    <w:rsid w:val="00CB468E"/>
    <w:rsid w:val="00D3775D"/>
    <w:rsid w:val="00D77F3A"/>
    <w:rsid w:val="00D9120E"/>
    <w:rsid w:val="00DE0FCF"/>
    <w:rsid w:val="00E3734A"/>
    <w:rsid w:val="00E3797B"/>
    <w:rsid w:val="00E51866"/>
    <w:rsid w:val="00E669C7"/>
    <w:rsid w:val="00ED17D5"/>
    <w:rsid w:val="00ED6582"/>
    <w:rsid w:val="00EF184C"/>
    <w:rsid w:val="00EF3B13"/>
    <w:rsid w:val="00F22C43"/>
    <w:rsid w:val="00F26983"/>
    <w:rsid w:val="00F95A48"/>
    <w:rsid w:val="00FB3928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3EFCF"/>
  <w15:docId w15:val="{AB6627AE-49FC-4578-BCB7-B0C14F23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95"/>
    <w:pPr>
      <w:spacing w:after="4" w:line="253" w:lineRule="auto"/>
      <w:ind w:left="10" w:firstLine="9"/>
      <w:jc w:val="both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95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2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95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42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F95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ListParagraph">
    <w:name w:val="List Paragraph"/>
    <w:basedOn w:val="Normal"/>
    <w:link w:val="ListParagraphChar"/>
    <w:qFormat/>
    <w:rsid w:val="00142F95"/>
    <w:pPr>
      <w:ind w:left="720"/>
      <w:contextualSpacing/>
    </w:pPr>
  </w:style>
  <w:style w:type="character" w:customStyle="1" w:styleId="ListParagraphChar">
    <w:name w:val="List Paragraph Char"/>
    <w:link w:val="ListParagraph"/>
    <w:rsid w:val="006F753B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BodyText">
    <w:name w:val="Body Text"/>
    <w:basedOn w:val="Normal"/>
    <w:link w:val="BodyTextChar"/>
    <w:rsid w:val="008D042E"/>
    <w:pPr>
      <w:spacing w:after="0" w:line="360" w:lineRule="auto"/>
      <w:ind w:left="0" w:firstLine="0"/>
      <w:jc w:val="left"/>
    </w:pPr>
    <w:rPr>
      <w:rFonts w:ascii="Arial" w:eastAsia="MS Mincho" w:hAnsi="Arial"/>
      <w:color w:val="auto"/>
      <w:sz w:val="20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8D042E"/>
    <w:rPr>
      <w:rFonts w:ascii="Arial" w:eastAsia="MS Mincho" w:hAnsi="Arial" w:cs="Times New Roman"/>
      <w:sz w:val="20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ED6582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Cs w:val="24"/>
      <w:lang w:bidi="bn-IN"/>
    </w:rPr>
  </w:style>
  <w:style w:type="paragraph" w:styleId="NoSpacing">
    <w:name w:val="No Spacing"/>
    <w:uiPriority w:val="1"/>
    <w:qFormat/>
    <w:rsid w:val="00ED6582"/>
    <w:pPr>
      <w:spacing w:after="0" w:line="240" w:lineRule="auto"/>
    </w:pPr>
    <w:rPr>
      <w:rFonts w:ascii="Arial" w:hAnsi="Arial"/>
      <w:sz w:val="24"/>
      <w:szCs w:val="28"/>
      <w:lang w:bidi="bn-IN"/>
    </w:rPr>
  </w:style>
  <w:style w:type="character" w:styleId="CommentReference">
    <w:name w:val="annotation reference"/>
    <w:basedOn w:val="DefaultParagraphFont"/>
    <w:uiPriority w:val="99"/>
    <w:semiHidden/>
    <w:unhideWhenUsed/>
    <w:rsid w:val="005A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B67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B67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EF56D-F5FE-4AB4-BAE4-25ADE5DA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alannaI</dc:creator>
  <cp:lastModifiedBy>Richard Renwick</cp:lastModifiedBy>
  <cp:revision>21</cp:revision>
  <dcterms:created xsi:type="dcterms:W3CDTF">2019-07-07T15:10:00Z</dcterms:created>
  <dcterms:modified xsi:type="dcterms:W3CDTF">2021-10-24T22:58:00Z</dcterms:modified>
</cp:coreProperties>
</file>